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23232"/>
          <w:sz w:val="21"/>
          <w:szCs w:val="21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Poem Discussion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Meyer, Bruce. "Critical Essay on 'In Flanders Fields'." </w:t>
      </w:r>
      <w:r w:rsidDel="00000000" w:rsidR="00000000" w:rsidRPr="00000000">
        <w:rPr>
          <w:i w:val="1"/>
          <w:color w:val="323232"/>
          <w:sz w:val="21"/>
          <w:szCs w:val="21"/>
          <w:shd w:fill="f5f5f5" w:val="clear"/>
          <w:rtl w:val="0"/>
        </w:rPr>
        <w:t xml:space="preserve">Poetry for Students</w:t>
      </w: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, edited by Mary Ruby, vol. 5, Gale, 1999. </w:t>
      </w:r>
      <w:r w:rsidDel="00000000" w:rsidR="00000000" w:rsidRPr="00000000">
        <w:rPr>
          <w:i w:val="1"/>
          <w:color w:val="323232"/>
          <w:sz w:val="21"/>
          <w:szCs w:val="21"/>
          <w:shd w:fill="f5f5f5" w:val="clear"/>
          <w:rtl w:val="0"/>
        </w:rPr>
        <w:t xml:space="preserve">Literature Resource Center</w:t>
      </w: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,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shd w:fill="f5f5f5" w:val="clear"/>
            <w:rtl w:val="0"/>
          </w:rPr>
          <w:t xml:space="preserve">http://link.galegroup.com/apps/doc/H1420042974/LitRC?u=ncliveuncch&amp;sid=LitRC&amp;xid=e90c92a</w:t>
        </w:r>
      </w:hyperlink>
      <w:r w:rsidDel="00000000" w:rsidR="00000000" w:rsidRPr="00000000">
        <w:rPr>
          <w:color w:val="666666"/>
          <w:sz w:val="20"/>
          <w:szCs w:val="20"/>
          <w:shd w:fill="f5f5f5" w:val="clear"/>
          <w:rtl w:val="0"/>
        </w:rPr>
        <w:t xml:space="preserve">9</w:t>
      </w: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. Accessed 16 July 2019.</w:t>
      </w:r>
    </w:p>
    <w:p w:rsidR="00000000" w:rsidDel="00000000" w:rsidP="00000000" w:rsidRDefault="00000000" w:rsidRPr="00000000" w14:paraId="00000003">
      <w:pPr>
        <w:numPr>
          <w:ilvl w:val="1"/>
          <w:numId w:val="3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Goes in depth and breaks down each section of the poem and analyzes background information such as history. Useful for essay as it gives a lot of information regarding details of the poem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“In Flanders Fields Analysis - Literary Devices and Poetic Devices.” Literary Devices, 1 Mar. 2019, //literarydevices.net/in-flanders-fields/.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Analyzes the literary devices in the poem. Use for the essay when breaking down and analyzing.</w:t>
      </w:r>
    </w:p>
    <w:p w:rsidR="00000000" w:rsidDel="00000000" w:rsidP="00000000" w:rsidRDefault="00000000" w:rsidRPr="00000000" w14:paraId="00000006">
      <w:pPr>
        <w:rPr>
          <w:color w:val="323232"/>
          <w:sz w:val="21"/>
          <w:szCs w:val="21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WW1 Literature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Onion, Amanda. “How World War I Changed Literature.” HISTORY, https://www.history.com/news/how-world-war-i-changed-literature. Accessed 17 July 2019.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Talks about early WW1 works and how they transitioned throughout and after the war. Can be used for essay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Literature | International Encyclopedia of the First World War (WW1). https://encyclopedia.1914-1918-online.net/article/literature. Accessed 17 July 2019.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Lists some WW1 works as well as some analysis on the poem. Useful for essay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23232"/>
          <w:sz w:val="21"/>
          <w:szCs w:val="21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Media aspect: Poppies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Pruitt, Sarah. “The WWI Origins of the Poppy as a Remembrance Symbol.” HISTORY, https://www.history.com/news/world-war-i-poppy-remembrance-symbol-veterans-day. Accessed 17 July 2019.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Use for imagery in the video. Shows how it became a symbol of hope and sacrifice of WW1.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Blakemore, Erin. “How the Poppy Came to Symbolize World War I.” Smithsonian, https://www.smithsonianmag.com/smart-news/how-poppy-came-symbolize-world-war-i-180960836/. Accessed 17 July 2019.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color w:val="323232"/>
          <w:sz w:val="21"/>
          <w:szCs w:val="21"/>
          <w:u w:val="none"/>
          <w:shd w:fill="f5f5f5" w:val="clear"/>
        </w:rPr>
      </w:pPr>
      <w:r w:rsidDel="00000000" w:rsidR="00000000" w:rsidRPr="00000000">
        <w:rPr>
          <w:color w:val="323232"/>
          <w:sz w:val="21"/>
          <w:szCs w:val="21"/>
          <w:shd w:fill="f5f5f5" w:val="clear"/>
          <w:rtl w:val="0"/>
        </w:rPr>
        <w:t xml:space="preserve">Imagery in the video. Shows how the poppy became a symbol of WW1 and insight into lives of civilians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.galegroup.com/apps/doc/H1420042974/LitRC?u=ncliveuncch&amp;sid=LitRC&amp;xid=e90c92a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