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097934" w14:textId="7963879A" w:rsidR="00137ADA" w:rsidRPr="00775543" w:rsidRDefault="005146A4" w:rsidP="009A7AC5">
      <w:pPr>
        <w:widowControl w:val="0"/>
        <w:jc w:val="center"/>
        <w:rPr>
          <w:rFonts w:ascii="Garamond" w:hAnsi="Garamond"/>
        </w:rPr>
      </w:pPr>
      <w:r w:rsidRPr="00775543">
        <w:rPr>
          <w:rFonts w:ascii="Garamond" w:eastAsia="Times New Roman" w:hAnsi="Garamond" w:cs="Times New Roman"/>
          <w:sz w:val="28"/>
          <w:szCs w:val="28"/>
        </w:rPr>
        <w:t xml:space="preserve">Video </w:t>
      </w:r>
      <w:r w:rsidR="00C67280" w:rsidRPr="00775543">
        <w:rPr>
          <w:rFonts w:ascii="Garamond" w:eastAsia="Times New Roman" w:hAnsi="Garamond" w:cs="Times New Roman"/>
          <w:sz w:val="28"/>
          <w:szCs w:val="28"/>
        </w:rPr>
        <w:t>StoryBoard</w:t>
      </w:r>
      <w:r w:rsidR="00E27B91" w:rsidRPr="00775543">
        <w:rPr>
          <w:rFonts w:ascii="Garamond" w:eastAsia="Times New Roman" w:hAnsi="Garamond" w:cs="Times New Roman"/>
          <w:sz w:val="28"/>
          <w:szCs w:val="28"/>
        </w:rPr>
        <w:t xml:space="preserve"> and S</w:t>
      </w:r>
      <w:r w:rsidR="00A05819" w:rsidRPr="00775543">
        <w:rPr>
          <w:rFonts w:ascii="Garamond" w:eastAsia="Times New Roman" w:hAnsi="Garamond" w:cs="Times New Roman"/>
          <w:sz w:val="28"/>
          <w:szCs w:val="28"/>
        </w:rPr>
        <w:t>cript</w:t>
      </w:r>
    </w:p>
    <w:p w14:paraId="287B6548" w14:textId="77777777" w:rsidR="00137ADA" w:rsidRPr="00775543" w:rsidRDefault="00137ADA">
      <w:pPr>
        <w:widowControl w:val="0"/>
        <w:rPr>
          <w:rFonts w:ascii="Garamond" w:hAnsi="Garamond"/>
        </w:rPr>
      </w:pPr>
    </w:p>
    <w:p w14:paraId="20E94723" w14:textId="3C147F46" w:rsidR="00137ADA" w:rsidRPr="00775543" w:rsidRDefault="00C67280">
      <w:pPr>
        <w:widowControl w:val="0"/>
        <w:rPr>
          <w:rFonts w:ascii="Garamond" w:hAnsi="Garamond"/>
        </w:rPr>
      </w:pPr>
      <w:r w:rsidRPr="00775543">
        <w:rPr>
          <w:rFonts w:ascii="Garamond" w:eastAsia="Times New Roman" w:hAnsi="Garamond" w:cs="Times New Roman"/>
          <w:sz w:val="20"/>
          <w:szCs w:val="20"/>
        </w:rPr>
        <w:t>Working Title of Project:</w:t>
      </w:r>
      <w:r w:rsidR="009A7AC5">
        <w:rPr>
          <w:rFonts w:ascii="Garamond" w:eastAsia="Times New Roman" w:hAnsi="Garamond" w:cs="Times New Roman"/>
          <w:sz w:val="20"/>
          <w:szCs w:val="20"/>
        </w:rPr>
        <w:t xml:space="preserve"> </w:t>
      </w:r>
      <w:r w:rsidR="009A7AC5" w:rsidRPr="009A7AC5">
        <w:rPr>
          <w:rFonts w:ascii="Garamond" w:eastAsia="Times New Roman" w:hAnsi="Garamond" w:cs="Times New Roman"/>
          <w:i/>
          <w:sz w:val="20"/>
          <w:szCs w:val="20"/>
        </w:rPr>
        <w:t>Between Page and Screen</w:t>
      </w:r>
    </w:p>
    <w:p w14:paraId="305AC43C" w14:textId="77777777" w:rsidR="00137ADA" w:rsidRPr="00775543" w:rsidRDefault="00137ADA">
      <w:pPr>
        <w:widowControl w:val="0"/>
        <w:rPr>
          <w:rFonts w:ascii="Garamond" w:hAnsi="Garamond"/>
        </w:rPr>
      </w:pPr>
    </w:p>
    <w:tbl>
      <w:tblPr>
        <w:tblStyle w:val="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1795"/>
        <w:gridCol w:w="6725"/>
        <w:gridCol w:w="735"/>
      </w:tblGrid>
      <w:tr w:rsidR="00137ADA" w:rsidRPr="00775543" w14:paraId="267AE08D" w14:textId="77777777" w:rsidTr="005146A4">
        <w:tc>
          <w:tcPr>
            <w:tcW w:w="465" w:type="dxa"/>
            <w:tcMar>
              <w:top w:w="100" w:type="dxa"/>
              <w:left w:w="100" w:type="dxa"/>
              <w:bottom w:w="100" w:type="dxa"/>
              <w:right w:w="100" w:type="dxa"/>
            </w:tcMar>
          </w:tcPr>
          <w:p w14:paraId="25270651" w14:textId="77777777" w:rsidR="00137ADA" w:rsidRPr="00775543" w:rsidRDefault="00137ADA">
            <w:pPr>
              <w:widowControl w:val="0"/>
              <w:spacing w:line="240" w:lineRule="auto"/>
              <w:rPr>
                <w:rFonts w:ascii="Garamond" w:hAnsi="Garamond"/>
              </w:rPr>
            </w:pPr>
          </w:p>
        </w:tc>
        <w:tc>
          <w:tcPr>
            <w:tcW w:w="1795" w:type="dxa"/>
            <w:tcMar>
              <w:top w:w="100" w:type="dxa"/>
              <w:left w:w="100" w:type="dxa"/>
              <w:bottom w:w="100" w:type="dxa"/>
              <w:right w:w="100" w:type="dxa"/>
            </w:tcMar>
          </w:tcPr>
          <w:p w14:paraId="652A2711" w14:textId="77777777" w:rsidR="00137ADA" w:rsidRPr="00775543" w:rsidRDefault="005146A4">
            <w:pPr>
              <w:widowControl w:val="0"/>
              <w:spacing w:line="240" w:lineRule="auto"/>
              <w:jc w:val="center"/>
              <w:rPr>
                <w:rFonts w:ascii="Garamond" w:hAnsi="Garamond"/>
              </w:rPr>
            </w:pPr>
            <w:r w:rsidRPr="00775543">
              <w:rPr>
                <w:rFonts w:ascii="Garamond" w:eastAsia="Times New Roman" w:hAnsi="Garamond" w:cs="Times New Roman"/>
                <w:color w:val="741B47"/>
                <w:sz w:val="18"/>
                <w:szCs w:val="18"/>
              </w:rPr>
              <w:t>What's on screen?</w:t>
            </w:r>
          </w:p>
        </w:tc>
        <w:tc>
          <w:tcPr>
            <w:tcW w:w="6725" w:type="dxa"/>
            <w:tcMar>
              <w:top w:w="100" w:type="dxa"/>
              <w:left w:w="100" w:type="dxa"/>
              <w:bottom w:w="100" w:type="dxa"/>
              <w:right w:w="100" w:type="dxa"/>
            </w:tcMar>
          </w:tcPr>
          <w:p w14:paraId="1D29A89F" w14:textId="77777777" w:rsidR="00137ADA" w:rsidRPr="00775543" w:rsidRDefault="00C67280">
            <w:pPr>
              <w:widowControl w:val="0"/>
              <w:spacing w:line="240" w:lineRule="auto"/>
              <w:jc w:val="center"/>
              <w:rPr>
                <w:rFonts w:ascii="Garamond" w:hAnsi="Garamond"/>
              </w:rPr>
            </w:pPr>
            <w:r w:rsidRPr="00775543">
              <w:rPr>
                <w:rFonts w:ascii="Garamond" w:eastAsia="Times New Roman" w:hAnsi="Garamond" w:cs="Times New Roman"/>
                <w:color w:val="741B47"/>
                <w:sz w:val="18"/>
                <w:szCs w:val="18"/>
              </w:rPr>
              <w:t>Script</w:t>
            </w:r>
          </w:p>
          <w:p w14:paraId="62368F63" w14:textId="6DC099BE" w:rsidR="00137ADA" w:rsidRPr="00775543" w:rsidRDefault="00E27B91" w:rsidP="00E27B91">
            <w:pPr>
              <w:widowControl w:val="0"/>
              <w:spacing w:line="240" w:lineRule="auto"/>
              <w:jc w:val="center"/>
              <w:rPr>
                <w:rFonts w:ascii="Garamond" w:hAnsi="Garamond"/>
              </w:rPr>
            </w:pPr>
            <w:r w:rsidRPr="00775543">
              <w:rPr>
                <w:rFonts w:ascii="Garamond" w:eastAsia="Times New Roman" w:hAnsi="Garamond" w:cs="Times New Roman"/>
                <w:color w:val="741B47"/>
                <w:sz w:val="16"/>
                <w:szCs w:val="16"/>
              </w:rPr>
              <w:t>A rough draft of the narration</w:t>
            </w:r>
          </w:p>
        </w:tc>
        <w:tc>
          <w:tcPr>
            <w:tcW w:w="735" w:type="dxa"/>
            <w:tcMar>
              <w:top w:w="100" w:type="dxa"/>
              <w:left w:w="100" w:type="dxa"/>
              <w:bottom w:w="100" w:type="dxa"/>
              <w:right w:w="100" w:type="dxa"/>
            </w:tcMar>
          </w:tcPr>
          <w:p w14:paraId="6227A892" w14:textId="77777777" w:rsidR="00137ADA" w:rsidRPr="00775543" w:rsidRDefault="005146A4">
            <w:pPr>
              <w:widowControl w:val="0"/>
              <w:spacing w:line="240" w:lineRule="auto"/>
              <w:jc w:val="center"/>
              <w:rPr>
                <w:rFonts w:ascii="Garamond" w:hAnsi="Garamond"/>
              </w:rPr>
            </w:pPr>
            <w:r w:rsidRPr="00775543">
              <w:rPr>
                <w:rFonts w:ascii="Garamond" w:eastAsia="Times New Roman" w:hAnsi="Garamond" w:cs="Times New Roman"/>
                <w:color w:val="741B47"/>
                <w:sz w:val="18"/>
                <w:szCs w:val="18"/>
              </w:rPr>
              <w:t>Time</w:t>
            </w:r>
          </w:p>
        </w:tc>
      </w:tr>
      <w:tr w:rsidR="00137ADA" w:rsidRPr="00775543" w14:paraId="6499A3DE" w14:textId="77777777" w:rsidTr="005146A4">
        <w:tc>
          <w:tcPr>
            <w:tcW w:w="465" w:type="dxa"/>
            <w:tcMar>
              <w:top w:w="100" w:type="dxa"/>
              <w:left w:w="100" w:type="dxa"/>
              <w:bottom w:w="100" w:type="dxa"/>
              <w:right w:w="100" w:type="dxa"/>
            </w:tcMar>
          </w:tcPr>
          <w:p w14:paraId="53055032" w14:textId="77777777" w:rsidR="00137ADA" w:rsidRPr="00775543" w:rsidRDefault="00C67280">
            <w:pPr>
              <w:widowControl w:val="0"/>
              <w:spacing w:line="240" w:lineRule="auto"/>
              <w:rPr>
                <w:rFonts w:ascii="Garamond" w:hAnsi="Garamond"/>
              </w:rPr>
            </w:pPr>
            <w:r w:rsidRPr="00775543">
              <w:rPr>
                <w:rFonts w:ascii="Garamond" w:eastAsia="Times New Roman" w:hAnsi="Garamond" w:cs="Times New Roman"/>
                <w:sz w:val="18"/>
                <w:szCs w:val="18"/>
              </w:rPr>
              <w:t>1</w:t>
            </w:r>
          </w:p>
        </w:tc>
        <w:tc>
          <w:tcPr>
            <w:tcW w:w="1795" w:type="dxa"/>
            <w:tcMar>
              <w:top w:w="100" w:type="dxa"/>
              <w:left w:w="100" w:type="dxa"/>
              <w:bottom w:w="100" w:type="dxa"/>
              <w:right w:w="100" w:type="dxa"/>
            </w:tcMar>
          </w:tcPr>
          <w:p w14:paraId="4451E24A" w14:textId="21F68BFF" w:rsidR="00137ADA" w:rsidRPr="00775543" w:rsidRDefault="00137ADA">
            <w:pPr>
              <w:widowControl w:val="0"/>
              <w:spacing w:line="240" w:lineRule="auto"/>
              <w:rPr>
                <w:rFonts w:ascii="Garamond" w:hAnsi="Garamond"/>
              </w:rPr>
            </w:pPr>
          </w:p>
          <w:p w14:paraId="082B269E" w14:textId="77777777" w:rsidR="00137ADA" w:rsidRDefault="00775543">
            <w:pPr>
              <w:widowControl w:val="0"/>
              <w:spacing w:line="240" w:lineRule="auto"/>
              <w:rPr>
                <w:rFonts w:ascii="Garamond" w:hAnsi="Garamond"/>
              </w:rPr>
            </w:pPr>
            <w:r>
              <w:rPr>
                <w:rFonts w:ascii="Garamond" w:hAnsi="Garamond"/>
              </w:rPr>
              <w:t>Screen</w:t>
            </w:r>
            <w:r w:rsidR="009A7AC5">
              <w:rPr>
                <w:rFonts w:ascii="Garamond" w:hAnsi="Garamond"/>
              </w:rPr>
              <w:t>cap of narrated action</w:t>
            </w:r>
          </w:p>
          <w:p w14:paraId="7D716F16" w14:textId="77777777" w:rsidR="009A7AC5" w:rsidRDefault="009A7AC5">
            <w:pPr>
              <w:widowControl w:val="0"/>
              <w:spacing w:line="240" w:lineRule="auto"/>
              <w:rPr>
                <w:rFonts w:ascii="Garamond" w:hAnsi="Garamond"/>
              </w:rPr>
            </w:pPr>
          </w:p>
          <w:p w14:paraId="3C3E4F6A" w14:textId="77777777" w:rsidR="009A7AC5" w:rsidRDefault="009A7AC5">
            <w:pPr>
              <w:widowControl w:val="0"/>
              <w:spacing w:line="240" w:lineRule="auto"/>
              <w:rPr>
                <w:rFonts w:ascii="Garamond" w:hAnsi="Garamond"/>
              </w:rPr>
            </w:pPr>
            <w:r>
              <w:rPr>
                <w:rFonts w:ascii="Garamond" w:hAnsi="Garamond"/>
              </w:rPr>
              <w:t>Burke video with overlayed footnote text</w:t>
            </w:r>
          </w:p>
          <w:p w14:paraId="14631584" w14:textId="3D796934" w:rsidR="009A7AC5" w:rsidRPr="00775543" w:rsidRDefault="009A7AC5">
            <w:pPr>
              <w:widowControl w:val="0"/>
              <w:spacing w:line="240" w:lineRule="auto"/>
              <w:rPr>
                <w:rFonts w:ascii="Garamond" w:hAnsi="Garamond"/>
              </w:rPr>
            </w:pPr>
          </w:p>
        </w:tc>
        <w:tc>
          <w:tcPr>
            <w:tcW w:w="6725" w:type="dxa"/>
            <w:tcMar>
              <w:top w:w="100" w:type="dxa"/>
              <w:left w:w="100" w:type="dxa"/>
              <w:bottom w:w="100" w:type="dxa"/>
              <w:right w:w="100" w:type="dxa"/>
            </w:tcMar>
          </w:tcPr>
          <w:p w14:paraId="1B251D63" w14:textId="7BFE3E86" w:rsidR="00600771" w:rsidRPr="00775543" w:rsidRDefault="00775543" w:rsidP="00A04727">
            <w:pPr>
              <w:widowControl w:val="0"/>
              <w:spacing w:line="240" w:lineRule="auto"/>
              <w:rPr>
                <w:rFonts w:ascii="Garamond" w:hAnsi="Garamond"/>
              </w:rPr>
            </w:pPr>
            <w:r w:rsidRPr="00775543">
              <w:rPr>
                <w:rFonts w:ascii="Garamond" w:hAnsi="Garamond"/>
              </w:rPr>
              <w:t>You type “augmented reality” into Google and are given about 115,000,000 results in 0.67 seconds. You get a definition, an example, a news article, a hot take. You switch tabs and search the same term in the Electronic Literature Database, a page you bookmarked a little over a year ago when you were taking a break. Symbol making, using, misusing</w:t>
            </w:r>
            <w:r w:rsidRPr="00775543">
              <w:rPr>
                <w:rStyle w:val="FootnoteReference"/>
                <w:rFonts w:ascii="Garamond" w:hAnsi="Garamond"/>
              </w:rPr>
              <w:footnoteReference w:id="1"/>
            </w:r>
            <w:r w:rsidRPr="00775543">
              <w:rPr>
                <w:rFonts w:ascii="Garamond" w:hAnsi="Garamond"/>
              </w:rPr>
              <w:t xml:space="preserve">; “augmented reality.” You hit enter. You find a project called </w:t>
            </w:r>
            <w:r w:rsidRPr="00775543">
              <w:rPr>
                <w:rFonts w:ascii="Garamond" w:hAnsi="Garamond"/>
                <w:i/>
              </w:rPr>
              <w:t xml:space="preserve">Between Page and Screen </w:t>
            </w:r>
            <w:r w:rsidRPr="00775543">
              <w:rPr>
                <w:rFonts w:ascii="Garamond" w:hAnsi="Garamond"/>
              </w:rPr>
              <w:t>and click on it. You see a screenshot, an artist’s statement, a link to somewhere else. You click. You are curious. You seek out a book that is not meant for you</w:t>
            </w:r>
            <w:r w:rsidRPr="00775543">
              <w:rPr>
                <w:rStyle w:val="FootnoteReference"/>
                <w:rFonts w:ascii="Garamond" w:hAnsi="Garamond"/>
              </w:rPr>
              <w:footnoteReference w:id="2"/>
            </w:r>
            <w:r w:rsidRPr="00775543">
              <w:rPr>
                <w:rFonts w:ascii="Garamond" w:hAnsi="Garamond"/>
              </w:rPr>
              <w:t>.</w:t>
            </w:r>
          </w:p>
        </w:tc>
        <w:tc>
          <w:tcPr>
            <w:tcW w:w="735" w:type="dxa"/>
            <w:tcMar>
              <w:top w:w="100" w:type="dxa"/>
              <w:left w:w="100" w:type="dxa"/>
              <w:bottom w:w="100" w:type="dxa"/>
              <w:right w:w="100" w:type="dxa"/>
            </w:tcMar>
          </w:tcPr>
          <w:p w14:paraId="79E51669" w14:textId="77777777" w:rsidR="00137ADA" w:rsidRPr="00775543" w:rsidRDefault="00137ADA">
            <w:pPr>
              <w:widowControl w:val="0"/>
              <w:spacing w:line="240" w:lineRule="auto"/>
              <w:rPr>
                <w:rFonts w:ascii="Garamond" w:hAnsi="Garamond"/>
              </w:rPr>
            </w:pPr>
          </w:p>
        </w:tc>
      </w:tr>
      <w:tr w:rsidR="00137ADA" w:rsidRPr="00775543" w14:paraId="0A85B7AC" w14:textId="77777777" w:rsidTr="005146A4">
        <w:tc>
          <w:tcPr>
            <w:tcW w:w="465" w:type="dxa"/>
            <w:tcMar>
              <w:top w:w="100" w:type="dxa"/>
              <w:left w:w="100" w:type="dxa"/>
              <w:bottom w:w="100" w:type="dxa"/>
              <w:right w:w="100" w:type="dxa"/>
            </w:tcMar>
          </w:tcPr>
          <w:p w14:paraId="753060E0" w14:textId="77777777" w:rsidR="00137ADA" w:rsidRPr="00775543" w:rsidRDefault="00C67280">
            <w:pPr>
              <w:widowControl w:val="0"/>
              <w:spacing w:line="240" w:lineRule="auto"/>
              <w:rPr>
                <w:rFonts w:ascii="Garamond" w:hAnsi="Garamond"/>
              </w:rPr>
            </w:pPr>
            <w:r w:rsidRPr="00775543">
              <w:rPr>
                <w:rFonts w:ascii="Garamond" w:eastAsia="Times New Roman" w:hAnsi="Garamond" w:cs="Times New Roman"/>
                <w:sz w:val="18"/>
                <w:szCs w:val="18"/>
              </w:rPr>
              <w:t>2</w:t>
            </w:r>
          </w:p>
        </w:tc>
        <w:tc>
          <w:tcPr>
            <w:tcW w:w="1795" w:type="dxa"/>
            <w:tcMar>
              <w:top w:w="100" w:type="dxa"/>
              <w:left w:w="100" w:type="dxa"/>
              <w:bottom w:w="100" w:type="dxa"/>
              <w:right w:w="100" w:type="dxa"/>
            </w:tcMar>
          </w:tcPr>
          <w:p w14:paraId="6AA52D0A" w14:textId="5DBDCAE6" w:rsidR="009A7AC5" w:rsidRDefault="009A7AC5">
            <w:pPr>
              <w:widowControl w:val="0"/>
              <w:spacing w:line="240" w:lineRule="auto"/>
              <w:rPr>
                <w:rFonts w:ascii="Garamond" w:hAnsi="Garamond"/>
              </w:rPr>
            </w:pPr>
          </w:p>
          <w:p w14:paraId="551DB378" w14:textId="0239C008" w:rsidR="009A7AC5" w:rsidRDefault="009A7AC5">
            <w:pPr>
              <w:widowControl w:val="0"/>
              <w:spacing w:line="240" w:lineRule="auto"/>
              <w:rPr>
                <w:rFonts w:ascii="Garamond" w:hAnsi="Garamond"/>
              </w:rPr>
            </w:pPr>
            <w:r>
              <w:rPr>
                <w:rFonts w:ascii="Garamond" w:hAnsi="Garamond"/>
              </w:rPr>
              <w:t>Wilson library outside footage</w:t>
            </w:r>
          </w:p>
          <w:p w14:paraId="7C88B6DD" w14:textId="23DC32D3" w:rsidR="009A7AC5" w:rsidRDefault="009A7AC5">
            <w:pPr>
              <w:widowControl w:val="0"/>
              <w:spacing w:line="240" w:lineRule="auto"/>
              <w:rPr>
                <w:rFonts w:ascii="Garamond" w:hAnsi="Garamond"/>
              </w:rPr>
            </w:pPr>
          </w:p>
          <w:p w14:paraId="5196A0D8" w14:textId="0CD4FE61" w:rsidR="009A7AC5" w:rsidRPr="00775543" w:rsidRDefault="009A7AC5">
            <w:pPr>
              <w:widowControl w:val="0"/>
              <w:spacing w:line="240" w:lineRule="auto"/>
              <w:rPr>
                <w:rFonts w:ascii="Garamond" w:hAnsi="Garamond"/>
              </w:rPr>
            </w:pPr>
            <w:r>
              <w:rPr>
                <w:rFonts w:ascii="Garamond" w:hAnsi="Garamond"/>
              </w:rPr>
              <w:t xml:space="preserve">Wilson library reading </w:t>
            </w:r>
            <w:r w:rsidRPr="009A7AC5">
              <w:rPr>
                <w:rFonts w:ascii="Garamond" w:hAnsi="Garamond"/>
                <w:i/>
              </w:rPr>
              <w:t>B/S</w:t>
            </w:r>
            <w:r>
              <w:rPr>
                <w:rFonts w:ascii="Garamond" w:hAnsi="Garamond"/>
              </w:rPr>
              <w:t xml:space="preserve"> session</w:t>
            </w:r>
          </w:p>
          <w:p w14:paraId="3AF6D48D" w14:textId="77777777" w:rsidR="00137ADA" w:rsidRPr="00775543" w:rsidRDefault="00137ADA">
            <w:pPr>
              <w:widowControl w:val="0"/>
              <w:spacing w:line="240" w:lineRule="auto"/>
              <w:rPr>
                <w:rFonts w:ascii="Garamond" w:hAnsi="Garamond"/>
              </w:rPr>
            </w:pPr>
          </w:p>
          <w:p w14:paraId="2A44ED9B" w14:textId="77777777" w:rsidR="00137ADA" w:rsidRPr="00775543" w:rsidRDefault="00137ADA">
            <w:pPr>
              <w:widowControl w:val="0"/>
              <w:spacing w:line="240" w:lineRule="auto"/>
              <w:rPr>
                <w:rFonts w:ascii="Garamond" w:hAnsi="Garamond"/>
              </w:rPr>
            </w:pPr>
          </w:p>
        </w:tc>
        <w:tc>
          <w:tcPr>
            <w:tcW w:w="6725" w:type="dxa"/>
            <w:tcMar>
              <w:top w:w="100" w:type="dxa"/>
              <w:left w:w="100" w:type="dxa"/>
              <w:bottom w:w="100" w:type="dxa"/>
              <w:right w:w="100" w:type="dxa"/>
            </w:tcMar>
          </w:tcPr>
          <w:p w14:paraId="315C189E" w14:textId="622F973E" w:rsidR="00137ADA" w:rsidRPr="00775543" w:rsidRDefault="009A7AC5" w:rsidP="00600771">
            <w:pPr>
              <w:widowControl w:val="0"/>
              <w:spacing w:line="240" w:lineRule="auto"/>
              <w:rPr>
                <w:rFonts w:ascii="Garamond" w:hAnsi="Garamond"/>
              </w:rPr>
            </w:pPr>
            <w:r>
              <w:rPr>
                <w:rFonts w:ascii="Garamond" w:hAnsi="Garamond"/>
              </w:rPr>
              <w:t xml:space="preserve">You think you can find it in the library. You do. You hold a small, red paperback with no words on its pages. You flip through, you cannot read. You were expecting this. Black Quick Response (QR) codes mark the center of each page, pixelated hieroglyphs meant for a different reader. You open your computer, a new window, you type in </w:t>
            </w:r>
            <w:hyperlink r:id="rId6" w:history="1">
              <w:r w:rsidRPr="00DC002A">
                <w:rPr>
                  <w:rStyle w:val="Hyperlink"/>
                  <w:rFonts w:ascii="Garamond" w:hAnsi="Garamond"/>
                </w:rPr>
                <w:t>the address</w:t>
              </w:r>
            </w:hyperlink>
            <w:r>
              <w:rPr>
                <w:rFonts w:ascii="Garamond" w:hAnsi="Garamond"/>
              </w:rPr>
              <w:t>. You see yourself, your webcam is on, it has to be. You’ve had a smudge of pen on your cheek. No one told you. You wipe the smudge, spreading it out, not really removing it.</w:t>
            </w:r>
          </w:p>
        </w:tc>
        <w:tc>
          <w:tcPr>
            <w:tcW w:w="735" w:type="dxa"/>
            <w:tcMar>
              <w:top w:w="100" w:type="dxa"/>
              <w:left w:w="100" w:type="dxa"/>
              <w:bottom w:w="100" w:type="dxa"/>
              <w:right w:w="100" w:type="dxa"/>
            </w:tcMar>
          </w:tcPr>
          <w:p w14:paraId="35293FEA" w14:textId="77777777" w:rsidR="00137ADA" w:rsidRPr="00775543" w:rsidRDefault="00137ADA">
            <w:pPr>
              <w:widowControl w:val="0"/>
              <w:spacing w:line="240" w:lineRule="auto"/>
              <w:rPr>
                <w:rFonts w:ascii="Garamond" w:hAnsi="Garamond"/>
              </w:rPr>
            </w:pPr>
          </w:p>
        </w:tc>
      </w:tr>
      <w:tr w:rsidR="00137ADA" w:rsidRPr="00775543" w14:paraId="1DE79DBE" w14:textId="77777777" w:rsidTr="005146A4">
        <w:tc>
          <w:tcPr>
            <w:tcW w:w="465" w:type="dxa"/>
            <w:tcMar>
              <w:top w:w="100" w:type="dxa"/>
              <w:left w:w="100" w:type="dxa"/>
              <w:bottom w:w="100" w:type="dxa"/>
              <w:right w:w="100" w:type="dxa"/>
            </w:tcMar>
          </w:tcPr>
          <w:p w14:paraId="46E3F5C9" w14:textId="77777777" w:rsidR="00137ADA" w:rsidRPr="00775543" w:rsidRDefault="00C67280">
            <w:pPr>
              <w:widowControl w:val="0"/>
              <w:spacing w:line="240" w:lineRule="auto"/>
              <w:rPr>
                <w:rFonts w:ascii="Garamond" w:hAnsi="Garamond"/>
              </w:rPr>
            </w:pPr>
            <w:r w:rsidRPr="00775543">
              <w:rPr>
                <w:rFonts w:ascii="Garamond" w:eastAsia="Times New Roman" w:hAnsi="Garamond" w:cs="Times New Roman"/>
                <w:sz w:val="18"/>
                <w:szCs w:val="18"/>
              </w:rPr>
              <w:t>3</w:t>
            </w:r>
          </w:p>
        </w:tc>
        <w:tc>
          <w:tcPr>
            <w:tcW w:w="1795" w:type="dxa"/>
            <w:tcMar>
              <w:top w:w="100" w:type="dxa"/>
              <w:left w:w="100" w:type="dxa"/>
              <w:bottom w:w="100" w:type="dxa"/>
              <w:right w:w="100" w:type="dxa"/>
            </w:tcMar>
          </w:tcPr>
          <w:p w14:paraId="3258F19E" w14:textId="77777777" w:rsidR="00137ADA" w:rsidRPr="00775543" w:rsidRDefault="00137ADA">
            <w:pPr>
              <w:widowControl w:val="0"/>
              <w:spacing w:line="240" w:lineRule="auto"/>
              <w:rPr>
                <w:rFonts w:ascii="Garamond" w:hAnsi="Garamond"/>
              </w:rPr>
            </w:pPr>
          </w:p>
          <w:p w14:paraId="630AA6A2" w14:textId="7EBFB992" w:rsidR="00137ADA" w:rsidRPr="00775543" w:rsidRDefault="009A7AC5">
            <w:pPr>
              <w:widowControl w:val="0"/>
              <w:spacing w:line="240" w:lineRule="auto"/>
              <w:rPr>
                <w:rFonts w:ascii="Garamond" w:hAnsi="Garamond"/>
              </w:rPr>
            </w:pPr>
            <w:r>
              <w:rPr>
                <w:rFonts w:ascii="Garamond" w:hAnsi="Garamond"/>
              </w:rPr>
              <w:t xml:space="preserve">Wilson library reading </w:t>
            </w:r>
            <w:r w:rsidRPr="009A7AC5">
              <w:rPr>
                <w:rFonts w:ascii="Garamond" w:hAnsi="Garamond"/>
                <w:i/>
              </w:rPr>
              <w:t>B/S</w:t>
            </w:r>
            <w:r>
              <w:rPr>
                <w:rFonts w:ascii="Garamond" w:hAnsi="Garamond"/>
              </w:rPr>
              <w:t xml:space="preserve"> session</w:t>
            </w:r>
          </w:p>
          <w:p w14:paraId="2AA78698" w14:textId="77777777" w:rsidR="00137ADA" w:rsidRPr="00775543" w:rsidRDefault="00137ADA">
            <w:pPr>
              <w:widowControl w:val="0"/>
              <w:spacing w:line="240" w:lineRule="auto"/>
              <w:rPr>
                <w:rFonts w:ascii="Garamond" w:hAnsi="Garamond"/>
              </w:rPr>
            </w:pPr>
          </w:p>
        </w:tc>
        <w:tc>
          <w:tcPr>
            <w:tcW w:w="6725" w:type="dxa"/>
            <w:tcMar>
              <w:top w:w="100" w:type="dxa"/>
              <w:left w:w="100" w:type="dxa"/>
              <w:bottom w:w="100" w:type="dxa"/>
              <w:right w:w="100" w:type="dxa"/>
            </w:tcMar>
          </w:tcPr>
          <w:p w14:paraId="310FD17E" w14:textId="77777777" w:rsidR="009A7AC5" w:rsidRPr="009A7AC5" w:rsidRDefault="009A7AC5" w:rsidP="009A7AC5">
            <w:pPr>
              <w:widowControl w:val="0"/>
              <w:spacing w:line="240" w:lineRule="auto"/>
              <w:rPr>
                <w:rFonts w:ascii="Garamond" w:hAnsi="Garamond"/>
              </w:rPr>
            </w:pPr>
            <w:r w:rsidRPr="009A7AC5">
              <w:rPr>
                <w:rFonts w:ascii="Garamond" w:hAnsi="Garamond"/>
              </w:rPr>
              <w:t xml:space="preserve">You hold the book in front of your face. You hold it towards the camera, like you’re showing a picture book to a classroom of kindergartners sitting on a scratchy, durable rug. Black text appears, your face an opaque background. It’s backwards, you cannot read. You were not expecting this. You frown, you can see yourself. You turn the book back towards you, as though you could read it. Left to right. You prop your elbows up, so you can be seen trying to read. Black text appears, right side around this time. </w:t>
            </w:r>
          </w:p>
          <w:p w14:paraId="77E344B7" w14:textId="77777777" w:rsidR="00B4711D" w:rsidRPr="00775543" w:rsidRDefault="00B4711D" w:rsidP="00600771">
            <w:pPr>
              <w:widowControl w:val="0"/>
              <w:spacing w:line="240" w:lineRule="auto"/>
              <w:rPr>
                <w:rFonts w:ascii="Garamond" w:hAnsi="Garamond"/>
              </w:rPr>
            </w:pPr>
          </w:p>
        </w:tc>
        <w:tc>
          <w:tcPr>
            <w:tcW w:w="735" w:type="dxa"/>
            <w:tcMar>
              <w:top w:w="100" w:type="dxa"/>
              <w:left w:w="100" w:type="dxa"/>
              <w:bottom w:w="100" w:type="dxa"/>
              <w:right w:w="100" w:type="dxa"/>
            </w:tcMar>
          </w:tcPr>
          <w:p w14:paraId="64D015F7" w14:textId="77777777" w:rsidR="00137ADA" w:rsidRPr="00775543" w:rsidRDefault="00137ADA">
            <w:pPr>
              <w:widowControl w:val="0"/>
              <w:spacing w:line="240" w:lineRule="auto"/>
              <w:rPr>
                <w:rFonts w:ascii="Garamond" w:hAnsi="Garamond"/>
              </w:rPr>
            </w:pPr>
          </w:p>
        </w:tc>
      </w:tr>
      <w:tr w:rsidR="00B4711D" w:rsidRPr="00775543" w14:paraId="4D08133F" w14:textId="77777777" w:rsidTr="00B4711D">
        <w:trPr>
          <w:trHeight w:val="870"/>
        </w:trPr>
        <w:tc>
          <w:tcPr>
            <w:tcW w:w="465" w:type="dxa"/>
            <w:tcMar>
              <w:top w:w="100" w:type="dxa"/>
              <w:left w:w="100" w:type="dxa"/>
              <w:bottom w:w="100" w:type="dxa"/>
              <w:right w:w="100" w:type="dxa"/>
            </w:tcMar>
          </w:tcPr>
          <w:p w14:paraId="599B42E9" w14:textId="77777777" w:rsidR="00B4711D" w:rsidRPr="00775543" w:rsidRDefault="00B4711D">
            <w:pPr>
              <w:widowControl w:val="0"/>
              <w:spacing w:line="240" w:lineRule="auto"/>
              <w:rPr>
                <w:rFonts w:ascii="Garamond" w:eastAsia="Times New Roman" w:hAnsi="Garamond" w:cs="Times New Roman"/>
                <w:sz w:val="18"/>
                <w:szCs w:val="18"/>
              </w:rPr>
            </w:pPr>
            <w:r w:rsidRPr="00775543">
              <w:rPr>
                <w:rFonts w:ascii="Garamond" w:eastAsia="Times New Roman" w:hAnsi="Garamond" w:cs="Times New Roman"/>
                <w:sz w:val="18"/>
                <w:szCs w:val="18"/>
              </w:rPr>
              <w:t>4</w:t>
            </w:r>
          </w:p>
        </w:tc>
        <w:tc>
          <w:tcPr>
            <w:tcW w:w="1795" w:type="dxa"/>
            <w:tcMar>
              <w:top w:w="100" w:type="dxa"/>
              <w:left w:w="100" w:type="dxa"/>
              <w:bottom w:w="100" w:type="dxa"/>
              <w:right w:w="100" w:type="dxa"/>
            </w:tcMar>
          </w:tcPr>
          <w:p w14:paraId="4B2920A8" w14:textId="77777777" w:rsidR="009A7AC5" w:rsidRPr="00775543" w:rsidRDefault="009A7AC5" w:rsidP="009A7AC5">
            <w:pPr>
              <w:widowControl w:val="0"/>
              <w:spacing w:line="240" w:lineRule="auto"/>
              <w:rPr>
                <w:rFonts w:ascii="Garamond" w:hAnsi="Garamond"/>
              </w:rPr>
            </w:pPr>
            <w:r>
              <w:rPr>
                <w:rFonts w:ascii="Garamond" w:hAnsi="Garamond"/>
              </w:rPr>
              <w:t xml:space="preserve">Wilson library reading </w:t>
            </w:r>
            <w:r w:rsidRPr="009A7AC5">
              <w:rPr>
                <w:rFonts w:ascii="Garamond" w:hAnsi="Garamond"/>
                <w:i/>
              </w:rPr>
              <w:t>B/S</w:t>
            </w:r>
            <w:r>
              <w:rPr>
                <w:rFonts w:ascii="Garamond" w:hAnsi="Garamond"/>
              </w:rPr>
              <w:t xml:space="preserve"> session</w:t>
            </w:r>
          </w:p>
          <w:p w14:paraId="2674C1D1" w14:textId="77777777" w:rsidR="00B4711D" w:rsidRDefault="00B4711D">
            <w:pPr>
              <w:widowControl w:val="0"/>
              <w:spacing w:line="240" w:lineRule="auto"/>
              <w:rPr>
                <w:rFonts w:ascii="Garamond" w:hAnsi="Garamond"/>
              </w:rPr>
            </w:pPr>
          </w:p>
          <w:p w14:paraId="72F3FAC6" w14:textId="77777777" w:rsidR="009A7AC5" w:rsidRDefault="009A7AC5">
            <w:pPr>
              <w:widowControl w:val="0"/>
              <w:spacing w:line="240" w:lineRule="auto"/>
              <w:rPr>
                <w:rFonts w:ascii="Garamond" w:hAnsi="Garamond"/>
              </w:rPr>
            </w:pPr>
            <w:r>
              <w:rPr>
                <w:rFonts w:ascii="Garamond" w:hAnsi="Garamond"/>
              </w:rPr>
              <w:t>Pressman text screencap</w:t>
            </w:r>
          </w:p>
          <w:p w14:paraId="3458C5D3" w14:textId="77777777" w:rsidR="009A7AC5" w:rsidRDefault="009A7AC5">
            <w:pPr>
              <w:widowControl w:val="0"/>
              <w:spacing w:line="240" w:lineRule="auto"/>
              <w:rPr>
                <w:rFonts w:ascii="Garamond" w:hAnsi="Garamond"/>
              </w:rPr>
            </w:pPr>
          </w:p>
          <w:p w14:paraId="3462CA06" w14:textId="4AFEBFCB" w:rsidR="009A7AC5" w:rsidRPr="00775543" w:rsidRDefault="009A7AC5">
            <w:pPr>
              <w:widowControl w:val="0"/>
              <w:spacing w:line="240" w:lineRule="auto"/>
              <w:rPr>
                <w:rFonts w:ascii="Garamond" w:hAnsi="Garamond"/>
              </w:rPr>
            </w:pPr>
            <w:r>
              <w:rPr>
                <w:rFonts w:ascii="Garamond" w:hAnsi="Garamond"/>
              </w:rPr>
              <w:t>New York City video stock footage</w:t>
            </w:r>
          </w:p>
        </w:tc>
        <w:tc>
          <w:tcPr>
            <w:tcW w:w="6725" w:type="dxa"/>
            <w:tcMar>
              <w:top w:w="100" w:type="dxa"/>
              <w:left w:w="100" w:type="dxa"/>
              <w:bottom w:w="100" w:type="dxa"/>
              <w:right w:w="100" w:type="dxa"/>
            </w:tcMar>
          </w:tcPr>
          <w:p w14:paraId="56309780" w14:textId="77777777" w:rsidR="009A7AC5" w:rsidRPr="009A7AC5" w:rsidRDefault="009A7AC5" w:rsidP="009A7AC5">
            <w:pPr>
              <w:widowControl w:val="0"/>
              <w:spacing w:line="240" w:lineRule="auto"/>
              <w:rPr>
                <w:rFonts w:ascii="Garamond" w:hAnsi="Garamond"/>
              </w:rPr>
            </w:pPr>
            <w:r w:rsidRPr="009A7AC5">
              <w:rPr>
                <w:rFonts w:ascii="Garamond" w:hAnsi="Garamond"/>
              </w:rPr>
              <w:lastRenderedPageBreak/>
              <w:t xml:space="preserve">A letter, a love letter, a make-up letter, after maybe a break-up letter. You flip through. Page and Screen have a lot to say to one another, you watch. They like to send things—material things—back and forth. Letters move. </w:t>
            </w:r>
            <w:r w:rsidRPr="009A7AC5">
              <w:rPr>
                <w:rFonts w:ascii="Garamond" w:hAnsi="Garamond"/>
              </w:rPr>
              <w:lastRenderedPageBreak/>
              <w:t>You’re in control, making letters move. You’re just watching, though, too. You see yourself</w:t>
            </w:r>
            <w:r w:rsidRPr="009A7AC5">
              <w:rPr>
                <w:rFonts w:ascii="Garamond" w:hAnsi="Garamond"/>
                <w:vertAlign w:val="superscript"/>
              </w:rPr>
              <w:footnoteReference w:id="3"/>
            </w:r>
            <w:r w:rsidRPr="009A7AC5">
              <w:rPr>
                <w:rFonts w:ascii="Garamond" w:hAnsi="Garamond"/>
              </w:rPr>
              <w:t>. You see page and screen, Page and Screen, their moving letters. The address where all the movement happens. The computer you bought refurbished from the Apple store on West 14</w:t>
            </w:r>
            <w:r w:rsidRPr="009A7AC5">
              <w:rPr>
                <w:rFonts w:ascii="Garamond" w:hAnsi="Garamond"/>
                <w:vertAlign w:val="superscript"/>
              </w:rPr>
              <w:t>th</w:t>
            </w:r>
            <w:r w:rsidRPr="009A7AC5">
              <w:rPr>
                <w:rFonts w:ascii="Garamond" w:hAnsi="Garamond"/>
              </w:rPr>
              <w:t xml:space="preserve"> Street. The programming of it all</w:t>
            </w:r>
            <w:r w:rsidRPr="009A7AC5">
              <w:rPr>
                <w:rFonts w:ascii="Garamond" w:hAnsi="Garamond"/>
                <w:vertAlign w:val="superscript"/>
              </w:rPr>
              <w:footnoteReference w:id="4"/>
            </w:r>
            <w:r w:rsidRPr="009A7AC5">
              <w:rPr>
                <w:rFonts w:ascii="Garamond" w:hAnsi="Garamond"/>
              </w:rPr>
              <w:t xml:space="preserve">. </w:t>
            </w:r>
          </w:p>
          <w:p w14:paraId="4CED18CD" w14:textId="77777777" w:rsidR="00B4711D" w:rsidRPr="00775543" w:rsidRDefault="00B4711D" w:rsidP="00A04727">
            <w:pPr>
              <w:widowControl w:val="0"/>
              <w:spacing w:line="240" w:lineRule="auto"/>
              <w:rPr>
                <w:rFonts w:ascii="Garamond" w:hAnsi="Garamond"/>
              </w:rPr>
            </w:pPr>
          </w:p>
        </w:tc>
        <w:tc>
          <w:tcPr>
            <w:tcW w:w="735" w:type="dxa"/>
            <w:tcMar>
              <w:top w:w="100" w:type="dxa"/>
              <w:left w:w="100" w:type="dxa"/>
              <w:bottom w:w="100" w:type="dxa"/>
              <w:right w:w="100" w:type="dxa"/>
            </w:tcMar>
          </w:tcPr>
          <w:p w14:paraId="3EDD5B65" w14:textId="77777777" w:rsidR="00B4711D" w:rsidRPr="00775543" w:rsidRDefault="00B4711D" w:rsidP="00600771">
            <w:pPr>
              <w:widowControl w:val="0"/>
              <w:spacing w:line="240" w:lineRule="auto"/>
              <w:rPr>
                <w:rFonts w:ascii="Garamond" w:hAnsi="Garamond"/>
              </w:rPr>
            </w:pPr>
          </w:p>
        </w:tc>
      </w:tr>
      <w:tr w:rsidR="00B4711D" w:rsidRPr="00775543" w14:paraId="717D3A21" w14:textId="77777777" w:rsidTr="005146A4">
        <w:tc>
          <w:tcPr>
            <w:tcW w:w="465" w:type="dxa"/>
            <w:tcMar>
              <w:top w:w="100" w:type="dxa"/>
              <w:left w:w="100" w:type="dxa"/>
              <w:bottom w:w="100" w:type="dxa"/>
              <w:right w:w="100" w:type="dxa"/>
            </w:tcMar>
          </w:tcPr>
          <w:p w14:paraId="49D744C2" w14:textId="77777777" w:rsidR="00B4711D" w:rsidRPr="00775543" w:rsidRDefault="00F9104B">
            <w:pPr>
              <w:widowControl w:val="0"/>
              <w:spacing w:line="240" w:lineRule="auto"/>
              <w:rPr>
                <w:rFonts w:ascii="Garamond" w:eastAsia="Times New Roman" w:hAnsi="Garamond" w:cs="Times New Roman"/>
                <w:sz w:val="18"/>
                <w:szCs w:val="18"/>
              </w:rPr>
            </w:pPr>
            <w:r w:rsidRPr="00775543">
              <w:rPr>
                <w:rFonts w:ascii="Garamond" w:eastAsia="Times New Roman" w:hAnsi="Garamond" w:cs="Times New Roman"/>
                <w:sz w:val="18"/>
                <w:szCs w:val="18"/>
              </w:rPr>
              <w:t>5</w:t>
            </w:r>
          </w:p>
        </w:tc>
        <w:tc>
          <w:tcPr>
            <w:tcW w:w="1795" w:type="dxa"/>
            <w:tcMar>
              <w:top w:w="100" w:type="dxa"/>
              <w:left w:w="100" w:type="dxa"/>
              <w:bottom w:w="100" w:type="dxa"/>
              <w:right w:w="100" w:type="dxa"/>
            </w:tcMar>
          </w:tcPr>
          <w:p w14:paraId="76D20D23" w14:textId="77777777" w:rsidR="009A7AC5" w:rsidRPr="00775543" w:rsidRDefault="009A7AC5" w:rsidP="009A7AC5">
            <w:pPr>
              <w:widowControl w:val="0"/>
              <w:spacing w:line="240" w:lineRule="auto"/>
              <w:rPr>
                <w:rFonts w:ascii="Garamond" w:hAnsi="Garamond"/>
              </w:rPr>
            </w:pPr>
            <w:r>
              <w:rPr>
                <w:rFonts w:ascii="Garamond" w:hAnsi="Garamond"/>
              </w:rPr>
              <w:t xml:space="preserve">Wilson library reading </w:t>
            </w:r>
            <w:r w:rsidRPr="009A7AC5">
              <w:rPr>
                <w:rFonts w:ascii="Garamond" w:hAnsi="Garamond"/>
                <w:i/>
              </w:rPr>
              <w:t>B/S</w:t>
            </w:r>
            <w:r>
              <w:rPr>
                <w:rFonts w:ascii="Garamond" w:hAnsi="Garamond"/>
              </w:rPr>
              <w:t xml:space="preserve"> session</w:t>
            </w:r>
          </w:p>
          <w:p w14:paraId="46DD25EE" w14:textId="77777777" w:rsidR="00B4711D" w:rsidRDefault="00B4711D">
            <w:pPr>
              <w:widowControl w:val="0"/>
              <w:spacing w:line="240" w:lineRule="auto"/>
              <w:rPr>
                <w:rFonts w:ascii="Garamond" w:hAnsi="Garamond"/>
              </w:rPr>
            </w:pPr>
          </w:p>
          <w:p w14:paraId="62759D64" w14:textId="6AC4C533" w:rsidR="009A7AC5" w:rsidRPr="00775543" w:rsidRDefault="009A7AC5">
            <w:pPr>
              <w:widowControl w:val="0"/>
              <w:spacing w:line="240" w:lineRule="auto"/>
              <w:rPr>
                <w:rFonts w:ascii="Garamond" w:hAnsi="Garamond"/>
              </w:rPr>
            </w:pPr>
            <w:r>
              <w:rPr>
                <w:rFonts w:ascii="Garamond" w:hAnsi="Garamond"/>
              </w:rPr>
              <w:t>Network stock footage</w:t>
            </w:r>
          </w:p>
        </w:tc>
        <w:tc>
          <w:tcPr>
            <w:tcW w:w="6725" w:type="dxa"/>
            <w:tcMar>
              <w:top w:w="100" w:type="dxa"/>
              <w:left w:w="100" w:type="dxa"/>
              <w:bottom w:w="100" w:type="dxa"/>
              <w:right w:w="100" w:type="dxa"/>
            </w:tcMar>
          </w:tcPr>
          <w:p w14:paraId="1E8659D7" w14:textId="77777777" w:rsidR="009A7AC5" w:rsidRPr="009A7AC5" w:rsidRDefault="009A7AC5" w:rsidP="009A7AC5">
            <w:pPr>
              <w:widowControl w:val="0"/>
              <w:spacing w:line="240" w:lineRule="auto"/>
              <w:rPr>
                <w:rFonts w:ascii="Garamond" w:hAnsi="Garamond"/>
              </w:rPr>
            </w:pPr>
            <w:r w:rsidRPr="009A7AC5">
              <w:rPr>
                <w:rFonts w:ascii="Garamond" w:hAnsi="Garamond"/>
              </w:rPr>
              <w:t xml:space="preserve">Through your screen Page says, “A screen is a shield, but also a veil—it’s sheer and can be shorn…” Page makes a point. Your screen is not Screen, not not Screen either. Both Screen and your own are material, contingent. Page knows the same thing about themselves, asking later to “name this pagan pageant, these rows of lines or vines that link us together.” </w:t>
            </w:r>
          </w:p>
          <w:p w14:paraId="58DB2303" w14:textId="77777777" w:rsidR="009A7AC5" w:rsidRDefault="009A7AC5" w:rsidP="009A7AC5">
            <w:pPr>
              <w:widowControl w:val="0"/>
              <w:spacing w:line="240" w:lineRule="auto"/>
              <w:rPr>
                <w:rFonts w:ascii="Garamond" w:hAnsi="Garamond"/>
              </w:rPr>
            </w:pPr>
          </w:p>
          <w:p w14:paraId="23315C88" w14:textId="2AA6B785" w:rsidR="009A7AC5" w:rsidRPr="009A7AC5" w:rsidRDefault="009A7AC5" w:rsidP="009A7AC5">
            <w:pPr>
              <w:widowControl w:val="0"/>
              <w:spacing w:line="240" w:lineRule="auto"/>
              <w:rPr>
                <w:rFonts w:ascii="Garamond" w:hAnsi="Garamond"/>
              </w:rPr>
            </w:pPr>
            <w:r w:rsidRPr="009A7AC5">
              <w:rPr>
                <w:rFonts w:ascii="Garamond" w:hAnsi="Garamond"/>
              </w:rPr>
              <w:t>Page and Screen both need language, text, to act, alone or together</w:t>
            </w:r>
            <w:r w:rsidRPr="009A7AC5">
              <w:rPr>
                <w:rFonts w:ascii="Garamond" w:hAnsi="Garamond"/>
                <w:vertAlign w:val="superscript"/>
              </w:rPr>
              <w:footnoteReference w:id="5"/>
            </w:r>
            <w:r w:rsidRPr="009A7AC5">
              <w:rPr>
                <w:rFonts w:ascii="Garamond" w:hAnsi="Garamond"/>
              </w:rPr>
              <w:t>. In a subsequent plea, Screen implores: “Page, don’t cage me.” Screen says, later, “We share text’s fleshy network—your trellis and my tendency to excoriate, your fang and my carnassials.”</w:t>
            </w:r>
          </w:p>
          <w:p w14:paraId="6952A5D3" w14:textId="77777777" w:rsidR="009A7AC5" w:rsidRDefault="009A7AC5" w:rsidP="009A7AC5">
            <w:pPr>
              <w:widowControl w:val="0"/>
              <w:spacing w:line="240" w:lineRule="auto"/>
              <w:rPr>
                <w:rFonts w:ascii="Garamond" w:hAnsi="Garamond"/>
              </w:rPr>
            </w:pPr>
          </w:p>
          <w:p w14:paraId="1DFBF870" w14:textId="22B07C73" w:rsidR="00600771" w:rsidRPr="00775543" w:rsidRDefault="009A7AC5" w:rsidP="00A04727">
            <w:pPr>
              <w:widowControl w:val="0"/>
              <w:spacing w:line="240" w:lineRule="auto"/>
              <w:rPr>
                <w:rFonts w:ascii="Garamond" w:hAnsi="Garamond"/>
              </w:rPr>
            </w:pPr>
            <w:r w:rsidRPr="009A7AC5">
              <w:rPr>
                <w:rFonts w:ascii="Garamond" w:hAnsi="Garamond"/>
              </w:rPr>
              <w:t xml:space="preserve">Screen places page and screen on opposite sides of the same coin—their shared “text’s fleshy network,” language as symbolic action unites them. Text to them both is different. Page’s text is not the same as Screen’s. Text is Page’s “trellis.” It is a structure to climb upon and grow. It reverses what it mean to print. Text is also Screen’s “tendency to excoriate.” Text is an act, a “tendency,” a dynamic opportunity to be critical and cutting. Text needs Page and Screen to make symbolic meaning, to enable symbolic action. </w:t>
            </w:r>
          </w:p>
        </w:tc>
        <w:tc>
          <w:tcPr>
            <w:tcW w:w="735" w:type="dxa"/>
            <w:tcMar>
              <w:top w:w="100" w:type="dxa"/>
              <w:left w:w="100" w:type="dxa"/>
              <w:bottom w:w="100" w:type="dxa"/>
              <w:right w:w="100" w:type="dxa"/>
            </w:tcMar>
          </w:tcPr>
          <w:p w14:paraId="6676AAA4" w14:textId="77777777" w:rsidR="00B4711D" w:rsidRPr="00775543" w:rsidRDefault="00B4711D">
            <w:pPr>
              <w:widowControl w:val="0"/>
              <w:spacing w:line="240" w:lineRule="auto"/>
              <w:rPr>
                <w:rFonts w:ascii="Garamond" w:hAnsi="Garamond"/>
              </w:rPr>
            </w:pPr>
          </w:p>
        </w:tc>
      </w:tr>
      <w:tr w:rsidR="00137ADA" w:rsidRPr="00775543" w14:paraId="44FB163D" w14:textId="77777777" w:rsidTr="00425E9B">
        <w:trPr>
          <w:trHeight w:val="1032"/>
        </w:trPr>
        <w:tc>
          <w:tcPr>
            <w:tcW w:w="465" w:type="dxa"/>
            <w:tcMar>
              <w:top w:w="100" w:type="dxa"/>
              <w:left w:w="100" w:type="dxa"/>
              <w:bottom w:w="100" w:type="dxa"/>
              <w:right w:w="100" w:type="dxa"/>
            </w:tcMar>
          </w:tcPr>
          <w:p w14:paraId="6C2BFB0C" w14:textId="77777777" w:rsidR="00137ADA" w:rsidRPr="00775543" w:rsidRDefault="00F9104B">
            <w:pPr>
              <w:widowControl w:val="0"/>
              <w:spacing w:line="240" w:lineRule="auto"/>
              <w:rPr>
                <w:rFonts w:ascii="Garamond" w:hAnsi="Garamond"/>
              </w:rPr>
            </w:pPr>
            <w:r w:rsidRPr="00775543">
              <w:rPr>
                <w:rFonts w:ascii="Garamond" w:eastAsia="Times New Roman" w:hAnsi="Garamond" w:cs="Times New Roman"/>
                <w:sz w:val="18"/>
                <w:szCs w:val="18"/>
              </w:rPr>
              <w:t>6</w:t>
            </w:r>
          </w:p>
        </w:tc>
        <w:tc>
          <w:tcPr>
            <w:tcW w:w="1795" w:type="dxa"/>
            <w:tcMar>
              <w:top w:w="100" w:type="dxa"/>
              <w:left w:w="100" w:type="dxa"/>
              <w:bottom w:w="100" w:type="dxa"/>
              <w:right w:w="100" w:type="dxa"/>
            </w:tcMar>
          </w:tcPr>
          <w:p w14:paraId="674513B0" w14:textId="0F1A21D3" w:rsidR="009A7AC5" w:rsidRPr="00775543" w:rsidRDefault="009A7AC5" w:rsidP="009A7AC5">
            <w:pPr>
              <w:widowControl w:val="0"/>
              <w:spacing w:line="240" w:lineRule="auto"/>
              <w:rPr>
                <w:rFonts w:ascii="Garamond" w:hAnsi="Garamond"/>
              </w:rPr>
            </w:pPr>
            <w:r>
              <w:rPr>
                <w:rFonts w:ascii="Garamond" w:hAnsi="Garamond"/>
              </w:rPr>
              <w:t xml:space="preserve">Color modified </w:t>
            </w:r>
            <w:r>
              <w:rPr>
                <w:rFonts w:ascii="Garamond" w:hAnsi="Garamond"/>
              </w:rPr>
              <w:t xml:space="preserve">Wilson library reading </w:t>
            </w:r>
            <w:r w:rsidRPr="009A7AC5">
              <w:rPr>
                <w:rFonts w:ascii="Garamond" w:hAnsi="Garamond"/>
                <w:i/>
              </w:rPr>
              <w:t>B/S</w:t>
            </w:r>
            <w:r>
              <w:rPr>
                <w:rFonts w:ascii="Garamond" w:hAnsi="Garamond"/>
              </w:rPr>
              <w:t xml:space="preserve"> session</w:t>
            </w:r>
          </w:p>
          <w:p w14:paraId="4B7F6DA1" w14:textId="78906740" w:rsidR="00137ADA" w:rsidRDefault="00137ADA">
            <w:pPr>
              <w:widowControl w:val="0"/>
              <w:spacing w:line="240" w:lineRule="auto"/>
              <w:rPr>
                <w:rFonts w:ascii="Garamond" w:hAnsi="Garamond"/>
              </w:rPr>
            </w:pPr>
          </w:p>
          <w:p w14:paraId="56D60D04" w14:textId="77777777" w:rsidR="009A7AC5" w:rsidRPr="00775543" w:rsidRDefault="009A7AC5">
            <w:pPr>
              <w:widowControl w:val="0"/>
              <w:spacing w:line="240" w:lineRule="auto"/>
              <w:rPr>
                <w:rFonts w:ascii="Garamond" w:hAnsi="Garamond"/>
              </w:rPr>
            </w:pPr>
          </w:p>
          <w:p w14:paraId="258268A6" w14:textId="442C1EB1" w:rsidR="00137ADA" w:rsidRPr="00775543" w:rsidRDefault="009A7AC5">
            <w:pPr>
              <w:widowControl w:val="0"/>
              <w:spacing w:line="240" w:lineRule="auto"/>
              <w:rPr>
                <w:rFonts w:ascii="Garamond" w:hAnsi="Garamond"/>
              </w:rPr>
            </w:pPr>
            <w:r>
              <w:rPr>
                <w:rFonts w:ascii="Garamond" w:hAnsi="Garamond"/>
              </w:rPr>
              <w:t xml:space="preserve">Color modified </w:t>
            </w:r>
            <w:r>
              <w:rPr>
                <w:rFonts w:ascii="Garamond" w:hAnsi="Garamond"/>
              </w:rPr>
              <w:lastRenderedPageBreak/>
              <w:t>Burke video with overlayed footnote text</w:t>
            </w:r>
          </w:p>
        </w:tc>
        <w:tc>
          <w:tcPr>
            <w:tcW w:w="6725" w:type="dxa"/>
            <w:tcMar>
              <w:top w:w="100" w:type="dxa"/>
              <w:left w:w="100" w:type="dxa"/>
              <w:bottom w:w="100" w:type="dxa"/>
              <w:right w:w="100" w:type="dxa"/>
            </w:tcMar>
          </w:tcPr>
          <w:p w14:paraId="4975E623" w14:textId="6C67006B" w:rsidR="009A7AC5" w:rsidRDefault="009A7AC5" w:rsidP="009A7AC5">
            <w:pPr>
              <w:widowControl w:val="0"/>
              <w:spacing w:line="240" w:lineRule="auto"/>
              <w:rPr>
                <w:rFonts w:ascii="Garamond" w:hAnsi="Garamond"/>
              </w:rPr>
            </w:pPr>
            <w:r w:rsidRPr="009A7AC5">
              <w:rPr>
                <w:rFonts w:ascii="Garamond" w:hAnsi="Garamond"/>
              </w:rPr>
              <w:lastRenderedPageBreak/>
              <w:t>Page makes explicit what you have been led to conclude all along. The “trellis” of text for the page is a metaphor, just as text is “tendency to excoriate” for Screen. You remember something you read this week, about metaphor, about metaphor as a different color filter lens through which to see</w:t>
            </w:r>
            <w:r w:rsidRPr="009A7AC5">
              <w:rPr>
                <w:rFonts w:ascii="Garamond" w:hAnsi="Garamond"/>
                <w:vertAlign w:val="superscript"/>
              </w:rPr>
              <w:footnoteReference w:id="6"/>
            </w:r>
            <w:r w:rsidRPr="009A7AC5">
              <w:rPr>
                <w:rFonts w:ascii="Garamond" w:hAnsi="Garamond"/>
              </w:rPr>
              <w:t>. You think that might be what’s happening.</w:t>
            </w:r>
          </w:p>
          <w:p w14:paraId="468800D5" w14:textId="77777777" w:rsidR="009A7AC5" w:rsidRPr="009A7AC5" w:rsidRDefault="009A7AC5" w:rsidP="009A7AC5">
            <w:pPr>
              <w:widowControl w:val="0"/>
              <w:spacing w:line="240" w:lineRule="auto"/>
              <w:rPr>
                <w:rFonts w:ascii="Garamond" w:hAnsi="Garamond"/>
              </w:rPr>
            </w:pPr>
          </w:p>
          <w:p w14:paraId="16F5813F" w14:textId="43609CAA" w:rsidR="00137ADA" w:rsidRPr="00775543" w:rsidRDefault="009A7AC5" w:rsidP="00600771">
            <w:pPr>
              <w:widowControl w:val="0"/>
              <w:spacing w:line="240" w:lineRule="auto"/>
              <w:rPr>
                <w:rFonts w:ascii="Garamond" w:hAnsi="Garamond"/>
              </w:rPr>
            </w:pPr>
            <w:r w:rsidRPr="009A7AC5">
              <w:rPr>
                <w:rFonts w:ascii="Garamond" w:hAnsi="Garamond"/>
              </w:rPr>
              <w:t xml:space="preserve">Page, in the next letter you see, blurs the different color filters, a two-way </w:t>
            </w:r>
            <w:r w:rsidRPr="009A7AC5">
              <w:rPr>
                <w:rFonts w:ascii="Garamond" w:hAnsi="Garamond"/>
              </w:rPr>
              <w:lastRenderedPageBreak/>
              <w:t xml:space="preserve">lens, perspective upon one another. Page sees “text,” “trellis,” and “metaphor” all at once. They are all in terms of one another. Each is its own node in text’s “fleshy network.” </w:t>
            </w:r>
          </w:p>
        </w:tc>
        <w:tc>
          <w:tcPr>
            <w:tcW w:w="735" w:type="dxa"/>
            <w:tcMar>
              <w:top w:w="100" w:type="dxa"/>
              <w:left w:w="100" w:type="dxa"/>
              <w:bottom w:w="100" w:type="dxa"/>
              <w:right w:w="100" w:type="dxa"/>
            </w:tcMar>
          </w:tcPr>
          <w:p w14:paraId="636C18AA" w14:textId="77777777" w:rsidR="00137ADA" w:rsidRPr="00775543" w:rsidRDefault="00137ADA" w:rsidP="00600771">
            <w:pPr>
              <w:widowControl w:val="0"/>
              <w:spacing w:line="240" w:lineRule="auto"/>
              <w:rPr>
                <w:rFonts w:ascii="Garamond" w:hAnsi="Garamond"/>
              </w:rPr>
            </w:pPr>
          </w:p>
        </w:tc>
      </w:tr>
      <w:tr w:rsidR="00137ADA" w:rsidRPr="00775543" w14:paraId="7CD4E1D7" w14:textId="77777777" w:rsidTr="005146A4">
        <w:tc>
          <w:tcPr>
            <w:tcW w:w="465" w:type="dxa"/>
            <w:tcMar>
              <w:top w:w="100" w:type="dxa"/>
              <w:left w:w="100" w:type="dxa"/>
              <w:bottom w:w="100" w:type="dxa"/>
              <w:right w:w="100" w:type="dxa"/>
            </w:tcMar>
          </w:tcPr>
          <w:p w14:paraId="6F90EBE3" w14:textId="77777777" w:rsidR="00137ADA" w:rsidRPr="00775543" w:rsidRDefault="00F9104B">
            <w:pPr>
              <w:widowControl w:val="0"/>
              <w:spacing w:line="240" w:lineRule="auto"/>
              <w:rPr>
                <w:rFonts w:ascii="Garamond" w:hAnsi="Garamond"/>
              </w:rPr>
            </w:pPr>
            <w:r w:rsidRPr="00775543">
              <w:rPr>
                <w:rFonts w:ascii="Garamond" w:eastAsia="Times New Roman" w:hAnsi="Garamond" w:cs="Times New Roman"/>
                <w:sz w:val="18"/>
                <w:szCs w:val="18"/>
              </w:rPr>
              <w:t>7</w:t>
            </w:r>
          </w:p>
        </w:tc>
        <w:tc>
          <w:tcPr>
            <w:tcW w:w="1795" w:type="dxa"/>
            <w:tcMar>
              <w:top w:w="100" w:type="dxa"/>
              <w:left w:w="100" w:type="dxa"/>
              <w:bottom w:w="100" w:type="dxa"/>
              <w:right w:w="100" w:type="dxa"/>
            </w:tcMar>
          </w:tcPr>
          <w:p w14:paraId="25B6597B" w14:textId="77777777" w:rsidR="00137ADA" w:rsidRPr="00775543" w:rsidRDefault="00137ADA">
            <w:pPr>
              <w:widowControl w:val="0"/>
              <w:spacing w:line="240" w:lineRule="auto"/>
              <w:rPr>
                <w:rFonts w:ascii="Garamond" w:hAnsi="Garamond"/>
              </w:rPr>
            </w:pPr>
          </w:p>
          <w:p w14:paraId="5F937A74" w14:textId="4DBDD509" w:rsidR="00137ADA" w:rsidRPr="00775543" w:rsidRDefault="009A7AC5">
            <w:pPr>
              <w:widowControl w:val="0"/>
              <w:spacing w:line="240" w:lineRule="auto"/>
              <w:rPr>
                <w:rFonts w:ascii="Garamond" w:hAnsi="Garamond"/>
              </w:rPr>
            </w:pPr>
            <w:r>
              <w:rPr>
                <w:rFonts w:ascii="Garamond" w:hAnsi="Garamond"/>
              </w:rPr>
              <w:t>New Wilson video, reader POV, looking at book</w:t>
            </w:r>
          </w:p>
          <w:p w14:paraId="37CDABE0" w14:textId="77777777" w:rsidR="00137ADA" w:rsidRPr="00775543" w:rsidRDefault="00137ADA">
            <w:pPr>
              <w:widowControl w:val="0"/>
              <w:spacing w:line="240" w:lineRule="auto"/>
              <w:rPr>
                <w:rFonts w:ascii="Garamond" w:hAnsi="Garamond"/>
              </w:rPr>
            </w:pPr>
          </w:p>
          <w:p w14:paraId="68479441" w14:textId="77777777" w:rsidR="00137ADA" w:rsidRPr="00775543" w:rsidRDefault="00137ADA">
            <w:pPr>
              <w:widowControl w:val="0"/>
              <w:spacing w:line="240" w:lineRule="auto"/>
              <w:rPr>
                <w:rFonts w:ascii="Garamond" w:hAnsi="Garamond"/>
              </w:rPr>
            </w:pPr>
          </w:p>
        </w:tc>
        <w:tc>
          <w:tcPr>
            <w:tcW w:w="6725" w:type="dxa"/>
            <w:tcMar>
              <w:top w:w="100" w:type="dxa"/>
              <w:left w:w="100" w:type="dxa"/>
              <w:bottom w:w="100" w:type="dxa"/>
              <w:right w:w="100" w:type="dxa"/>
            </w:tcMar>
          </w:tcPr>
          <w:p w14:paraId="1D0F6053" w14:textId="0D4E7453" w:rsidR="00137ADA" w:rsidRPr="009A7AC5" w:rsidRDefault="009A7AC5">
            <w:pPr>
              <w:widowControl w:val="0"/>
              <w:spacing w:line="240" w:lineRule="auto"/>
              <w:rPr>
                <w:rFonts w:ascii="Garamond" w:hAnsi="Garamond"/>
                <w:b/>
              </w:rPr>
            </w:pPr>
            <w:r w:rsidRPr="009A7AC5">
              <w:rPr>
                <w:rFonts w:ascii="Garamond" w:hAnsi="Garamond"/>
              </w:rPr>
              <w:t>Page ends their letter, asking “What are boundaries anyway?” You ask yourself too. Of Page, of Screen, of page, of screen, of your own face coming back into focus as you close the book. The boundaries of both Page and Screen, pages and screens, are material, are symbolic. The digital-virtual space is legible, it</w:t>
            </w:r>
            <w:r w:rsidRPr="009A7AC5">
              <w:rPr>
                <w:rFonts w:ascii="Garamond" w:hAnsi="Garamond"/>
                <w:i/>
              </w:rPr>
              <w:t xml:space="preserve"> </w:t>
            </w:r>
            <w:r w:rsidRPr="009A7AC5">
              <w:rPr>
                <w:rFonts w:ascii="Garamond" w:hAnsi="Garamond"/>
              </w:rPr>
              <w:t>invites you in</w:t>
            </w:r>
            <w:r w:rsidRPr="009A7AC5">
              <w:rPr>
                <w:rFonts w:ascii="Garamond" w:hAnsi="Garamond"/>
                <w:vertAlign w:val="superscript"/>
              </w:rPr>
              <w:footnoteReference w:id="7"/>
            </w:r>
            <w:r w:rsidRPr="009A7AC5">
              <w:rPr>
                <w:rFonts w:ascii="Garamond" w:hAnsi="Garamond"/>
              </w:rPr>
              <w:t xml:space="preserve">. You start to understand and play with these materials that do the work of symbols. You start to understand the symbols that do the work of materials. </w:t>
            </w:r>
          </w:p>
        </w:tc>
        <w:tc>
          <w:tcPr>
            <w:tcW w:w="735" w:type="dxa"/>
            <w:tcMar>
              <w:top w:w="100" w:type="dxa"/>
              <w:left w:w="100" w:type="dxa"/>
              <w:bottom w:w="100" w:type="dxa"/>
              <w:right w:w="100" w:type="dxa"/>
            </w:tcMar>
          </w:tcPr>
          <w:p w14:paraId="71EF1A67" w14:textId="77777777" w:rsidR="00137ADA" w:rsidRPr="00775543" w:rsidRDefault="00137ADA">
            <w:pPr>
              <w:widowControl w:val="0"/>
              <w:spacing w:line="240" w:lineRule="auto"/>
              <w:rPr>
                <w:rFonts w:ascii="Garamond" w:hAnsi="Garamond"/>
              </w:rPr>
            </w:pPr>
          </w:p>
        </w:tc>
      </w:tr>
      <w:tr w:rsidR="00137ADA" w:rsidRPr="00775543" w14:paraId="2F458A6F" w14:textId="77777777" w:rsidTr="005146A4">
        <w:tc>
          <w:tcPr>
            <w:tcW w:w="465" w:type="dxa"/>
            <w:tcMar>
              <w:top w:w="100" w:type="dxa"/>
              <w:left w:w="100" w:type="dxa"/>
              <w:bottom w:w="100" w:type="dxa"/>
              <w:right w:w="100" w:type="dxa"/>
            </w:tcMar>
          </w:tcPr>
          <w:p w14:paraId="0DE90233" w14:textId="77777777" w:rsidR="00137ADA" w:rsidRPr="00775543" w:rsidRDefault="00F9104B">
            <w:pPr>
              <w:widowControl w:val="0"/>
              <w:spacing w:line="240" w:lineRule="auto"/>
              <w:rPr>
                <w:rFonts w:ascii="Garamond" w:hAnsi="Garamond"/>
              </w:rPr>
            </w:pPr>
            <w:r w:rsidRPr="00775543">
              <w:rPr>
                <w:rFonts w:ascii="Garamond" w:eastAsia="Times New Roman" w:hAnsi="Garamond" w:cs="Times New Roman"/>
                <w:sz w:val="18"/>
                <w:szCs w:val="18"/>
              </w:rPr>
              <w:t>8</w:t>
            </w:r>
          </w:p>
        </w:tc>
        <w:tc>
          <w:tcPr>
            <w:tcW w:w="1795" w:type="dxa"/>
            <w:tcMar>
              <w:top w:w="100" w:type="dxa"/>
              <w:left w:w="100" w:type="dxa"/>
              <w:bottom w:w="100" w:type="dxa"/>
              <w:right w:w="100" w:type="dxa"/>
            </w:tcMar>
          </w:tcPr>
          <w:p w14:paraId="3F061334" w14:textId="77777777" w:rsidR="00137ADA" w:rsidRPr="00775543" w:rsidRDefault="00137ADA">
            <w:pPr>
              <w:widowControl w:val="0"/>
              <w:spacing w:line="240" w:lineRule="auto"/>
              <w:rPr>
                <w:rFonts w:ascii="Garamond" w:hAnsi="Garamond"/>
              </w:rPr>
            </w:pPr>
          </w:p>
          <w:p w14:paraId="671B7FF7" w14:textId="77777777" w:rsidR="00137ADA" w:rsidRPr="00775543" w:rsidRDefault="00137ADA">
            <w:pPr>
              <w:widowControl w:val="0"/>
              <w:spacing w:line="240" w:lineRule="auto"/>
              <w:rPr>
                <w:rFonts w:ascii="Garamond" w:hAnsi="Garamond"/>
              </w:rPr>
            </w:pPr>
          </w:p>
          <w:p w14:paraId="25090AE9" w14:textId="567FA952" w:rsidR="00137ADA" w:rsidRPr="00775543" w:rsidRDefault="009A7AC5">
            <w:pPr>
              <w:widowControl w:val="0"/>
              <w:spacing w:line="240" w:lineRule="auto"/>
              <w:rPr>
                <w:rFonts w:ascii="Garamond" w:hAnsi="Garamond"/>
              </w:rPr>
            </w:pPr>
            <w:r>
              <w:rPr>
                <w:rFonts w:ascii="Garamond" w:hAnsi="Garamond"/>
              </w:rPr>
              <w:t>Overlayed videos of old and new Wilson reading videos</w:t>
            </w:r>
          </w:p>
        </w:tc>
        <w:tc>
          <w:tcPr>
            <w:tcW w:w="6725" w:type="dxa"/>
            <w:tcMar>
              <w:top w:w="100" w:type="dxa"/>
              <w:left w:w="100" w:type="dxa"/>
              <w:bottom w:w="100" w:type="dxa"/>
              <w:right w:w="100" w:type="dxa"/>
            </w:tcMar>
          </w:tcPr>
          <w:p w14:paraId="66F460DD" w14:textId="2B6A5BDA" w:rsidR="00137ADA" w:rsidRPr="00775543" w:rsidRDefault="009A7AC5">
            <w:pPr>
              <w:widowControl w:val="0"/>
              <w:spacing w:line="240" w:lineRule="auto"/>
              <w:rPr>
                <w:rFonts w:ascii="Garamond" w:hAnsi="Garamond"/>
              </w:rPr>
            </w:pPr>
            <w:r>
              <w:rPr>
                <w:rFonts w:ascii="Garamond" w:hAnsi="Garamond"/>
              </w:rPr>
              <w:t>You see yourself, the room behind you. The big double-paned windows, the girl sitting flipping through an older and larger rare book. You close the window. You check your email. You rub the spot on your cheek, where Page signed off, hoping to smear the ink enough to make it not visible. You remind yourself to go to the bathroom before that meeting. You flip through the book one more time. You use the arms of the chair to stand up slowly. Your foot is asleep. An afternoon sunbeam hits the right angle through the window, temporarily blinding you. Your foot and your vision are the same for a moment. Muted, variable, pixelated</w:t>
            </w:r>
            <w:r>
              <w:rPr>
                <w:rStyle w:val="FootnoteReference"/>
                <w:rFonts w:ascii="Garamond" w:hAnsi="Garamond"/>
              </w:rPr>
              <w:footnoteReference w:id="8"/>
            </w:r>
            <w:r>
              <w:rPr>
                <w:rFonts w:ascii="Garamond" w:hAnsi="Garamond"/>
              </w:rPr>
              <w:t>. You turn the book in.</w:t>
            </w:r>
          </w:p>
        </w:tc>
        <w:tc>
          <w:tcPr>
            <w:tcW w:w="735" w:type="dxa"/>
            <w:tcMar>
              <w:top w:w="100" w:type="dxa"/>
              <w:left w:w="100" w:type="dxa"/>
              <w:bottom w:w="100" w:type="dxa"/>
              <w:right w:w="100" w:type="dxa"/>
            </w:tcMar>
          </w:tcPr>
          <w:p w14:paraId="4834DE6B" w14:textId="77777777" w:rsidR="00137ADA" w:rsidRPr="00775543" w:rsidRDefault="00137ADA">
            <w:pPr>
              <w:widowControl w:val="0"/>
              <w:spacing w:line="240" w:lineRule="auto"/>
              <w:rPr>
                <w:rFonts w:ascii="Garamond" w:hAnsi="Garamond"/>
              </w:rPr>
            </w:pPr>
          </w:p>
        </w:tc>
      </w:tr>
    </w:tbl>
    <w:p w14:paraId="24847489" w14:textId="77777777" w:rsidR="00137ADA" w:rsidRPr="00775543" w:rsidRDefault="00137ADA">
      <w:pPr>
        <w:widowControl w:val="0"/>
        <w:rPr>
          <w:rFonts w:ascii="Garamond" w:hAnsi="Garamond"/>
        </w:rPr>
      </w:pPr>
    </w:p>
    <w:p w14:paraId="0C44B52D" w14:textId="77777777" w:rsidR="00137ADA" w:rsidRPr="00775543" w:rsidRDefault="00137ADA">
      <w:pPr>
        <w:widowControl w:val="0"/>
        <w:rPr>
          <w:rFonts w:ascii="Garamond" w:hAnsi="Garamond"/>
        </w:rPr>
      </w:pPr>
    </w:p>
    <w:sectPr w:rsidR="00137ADA" w:rsidRPr="00775543" w:rsidSect="009A7AC5">
      <w:headerReference w:type="even" r:id="rId7"/>
      <w:headerReference w:type="default" r:id="rId8"/>
      <w:headerReference w:type="firs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405A4" w14:textId="77777777" w:rsidR="002F4D7D" w:rsidRDefault="002F4D7D" w:rsidP="00775543">
      <w:pPr>
        <w:spacing w:line="240" w:lineRule="auto"/>
      </w:pPr>
      <w:r>
        <w:separator/>
      </w:r>
    </w:p>
  </w:endnote>
  <w:endnote w:type="continuationSeparator" w:id="0">
    <w:p w14:paraId="073CB16A" w14:textId="77777777" w:rsidR="002F4D7D" w:rsidRDefault="002F4D7D" w:rsidP="007755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467F3" w14:textId="77777777" w:rsidR="002F4D7D" w:rsidRDefault="002F4D7D" w:rsidP="00775543">
      <w:pPr>
        <w:spacing w:line="240" w:lineRule="auto"/>
      </w:pPr>
      <w:r>
        <w:separator/>
      </w:r>
    </w:p>
  </w:footnote>
  <w:footnote w:type="continuationSeparator" w:id="0">
    <w:p w14:paraId="7D792154" w14:textId="77777777" w:rsidR="002F4D7D" w:rsidRDefault="002F4D7D" w:rsidP="00775543">
      <w:pPr>
        <w:spacing w:line="240" w:lineRule="auto"/>
      </w:pPr>
      <w:r>
        <w:continuationSeparator/>
      </w:r>
    </w:p>
  </w:footnote>
  <w:footnote w:id="1">
    <w:p w14:paraId="63B18753" w14:textId="77777777" w:rsidR="00775543" w:rsidRDefault="00775543" w:rsidP="00775543">
      <w:pPr>
        <w:pStyle w:val="FootnoteText"/>
        <w:rPr>
          <w:rFonts w:ascii="Garamond" w:hAnsi="Garamond"/>
        </w:rPr>
      </w:pPr>
      <w:r w:rsidRPr="008C4927">
        <w:rPr>
          <w:rStyle w:val="FootnoteReference"/>
          <w:rFonts w:ascii="Garamond" w:hAnsi="Garamond"/>
        </w:rPr>
        <w:footnoteRef/>
      </w:r>
      <w:r w:rsidRPr="008C4927">
        <w:rPr>
          <w:rFonts w:ascii="Garamond" w:hAnsi="Garamond"/>
        </w:rPr>
        <w:t xml:space="preserve"> Kenneth Burke</w:t>
      </w:r>
      <w:r>
        <w:rPr>
          <w:rFonts w:ascii="Garamond" w:hAnsi="Garamond"/>
        </w:rPr>
        <w:t xml:space="preserve"> famously writes in the </w:t>
      </w:r>
      <w:r w:rsidRPr="008C4927">
        <w:rPr>
          <w:rFonts w:ascii="Garamond" w:hAnsi="Garamond"/>
        </w:rPr>
        <w:t xml:space="preserve">“Definition of Man” </w:t>
      </w:r>
      <w:r>
        <w:rPr>
          <w:rFonts w:ascii="Garamond" w:hAnsi="Garamond"/>
        </w:rPr>
        <w:t>that “</w:t>
      </w:r>
      <w:r w:rsidRPr="008C4927">
        <w:rPr>
          <w:rFonts w:ascii="Garamond" w:hAnsi="Garamond"/>
        </w:rPr>
        <w:t>Man is the symbol-using (symbol-making, symbol-misusing) animal, inventor of the negative (or moralized by the negative), separated from his natural condition by instruments of his own making, goaded by the spirit of hierarchy (or moved by the sense of order), and rotten with perfection</w:t>
      </w:r>
      <w:r>
        <w:rPr>
          <w:rFonts w:ascii="Garamond" w:hAnsi="Garamond"/>
        </w:rPr>
        <w:t>” (Burke, 6).</w:t>
      </w:r>
    </w:p>
    <w:p w14:paraId="2CA163AE" w14:textId="77777777" w:rsidR="00775543" w:rsidRPr="008C4927" w:rsidRDefault="00775543" w:rsidP="00775543">
      <w:pPr>
        <w:pStyle w:val="FootnoteText"/>
        <w:rPr>
          <w:rFonts w:ascii="Garamond" w:hAnsi="Garamond"/>
        </w:rPr>
      </w:pPr>
    </w:p>
  </w:footnote>
  <w:footnote w:id="2">
    <w:p w14:paraId="4679CC99" w14:textId="77777777" w:rsidR="00775543" w:rsidRPr="00DC002A" w:rsidRDefault="00775543" w:rsidP="00775543">
      <w:pPr>
        <w:pStyle w:val="FootnoteText"/>
        <w:rPr>
          <w:rFonts w:ascii="Garamond" w:hAnsi="Garamond"/>
        </w:rPr>
      </w:pPr>
      <w:r w:rsidRPr="00DC002A">
        <w:rPr>
          <w:rStyle w:val="FootnoteReference"/>
          <w:rFonts w:ascii="Garamond" w:hAnsi="Garamond"/>
        </w:rPr>
        <w:footnoteRef/>
      </w:r>
      <w:r w:rsidRPr="00DC002A">
        <w:rPr>
          <w:rFonts w:ascii="Garamond" w:hAnsi="Garamond"/>
        </w:rPr>
        <w:t xml:space="preserve"> </w:t>
      </w:r>
      <w:r>
        <w:rPr>
          <w:rFonts w:ascii="Garamond" w:hAnsi="Garamond"/>
        </w:rPr>
        <w:t>“</w:t>
      </w:r>
      <w:r w:rsidRPr="008C4927">
        <w:rPr>
          <w:rFonts w:ascii="Garamond" w:hAnsi="Garamond"/>
        </w:rPr>
        <w:t xml:space="preserve">You open its covers and realize immediately that this is not for you” </w:t>
      </w:r>
      <w:r>
        <w:rPr>
          <w:rFonts w:ascii="Garamond" w:hAnsi="Garamond"/>
        </w:rPr>
        <w:t xml:space="preserve">writes Jessica </w:t>
      </w:r>
      <w:r w:rsidRPr="00DC002A">
        <w:rPr>
          <w:rFonts w:ascii="Garamond" w:hAnsi="Garamond"/>
        </w:rPr>
        <w:t>Pressman</w:t>
      </w:r>
      <w:r>
        <w:rPr>
          <w:rFonts w:ascii="Garamond" w:hAnsi="Garamond"/>
        </w:rPr>
        <w:t xml:space="preserve"> in </w:t>
      </w:r>
      <w:r w:rsidRPr="00DC002A">
        <w:rPr>
          <w:rFonts w:ascii="Garamond" w:hAnsi="Garamond"/>
        </w:rPr>
        <w:t>“Reorienting Ourselves toward the Material: Between Page and Screen as Case Study</w:t>
      </w:r>
      <w:r>
        <w:rPr>
          <w:rFonts w:ascii="Garamond" w:hAnsi="Garamond"/>
        </w:rPr>
        <w:t xml:space="preserve">:” </w:t>
      </w:r>
      <w:r w:rsidRPr="008C4927">
        <w:rPr>
          <w:rFonts w:ascii="Garamond" w:hAnsi="Garamond"/>
        </w:rPr>
        <w:t>(Pressman, 317)</w:t>
      </w:r>
      <w:r>
        <w:rPr>
          <w:rFonts w:ascii="Garamond" w:hAnsi="Garamond"/>
        </w:rPr>
        <w:t>.</w:t>
      </w:r>
    </w:p>
  </w:footnote>
  <w:footnote w:id="3">
    <w:p w14:paraId="2130E118" w14:textId="77777777" w:rsidR="009A7AC5" w:rsidRDefault="009A7AC5" w:rsidP="009A7AC5">
      <w:pPr>
        <w:pStyle w:val="FootnoteText"/>
        <w:rPr>
          <w:rFonts w:ascii="Garamond" w:hAnsi="Garamond"/>
        </w:rPr>
      </w:pPr>
      <w:r w:rsidRPr="002E55D0">
        <w:rPr>
          <w:rStyle w:val="FootnoteReference"/>
          <w:rFonts w:ascii="Garamond" w:hAnsi="Garamond"/>
        </w:rPr>
        <w:footnoteRef/>
      </w:r>
      <w:r w:rsidRPr="002E55D0">
        <w:rPr>
          <w:rFonts w:ascii="Garamond" w:hAnsi="Garamond"/>
        </w:rPr>
        <w:t xml:space="preserve"> Tatiani Rapatzikou, in “Reading Machines and Reading Subjects in Amaranth Borsuk and Brad Bouse's </w:t>
      </w:r>
      <w:r w:rsidRPr="002E55D0">
        <w:rPr>
          <w:rFonts w:ascii="Garamond" w:hAnsi="Garamond"/>
          <w:i/>
        </w:rPr>
        <w:t>Between Page and Screen</w:t>
      </w:r>
      <w:r w:rsidRPr="002E55D0">
        <w:rPr>
          <w:rFonts w:ascii="Garamond" w:hAnsi="Garamond"/>
        </w:rPr>
        <w:t>,” notes that “The readers here are caught up in a self-mirroring but virtual effect: what they see on the computer screen is a digitally-constructed, rather than a merely reflective, image of themselves—which in turn appears to co-habit the same virtual space as the text activated in it” (Rapatzikou, 103).</w:t>
      </w:r>
    </w:p>
    <w:p w14:paraId="6B381628" w14:textId="77777777" w:rsidR="009A7AC5" w:rsidRPr="002E55D0" w:rsidRDefault="009A7AC5" w:rsidP="009A7AC5">
      <w:pPr>
        <w:pStyle w:val="FootnoteText"/>
        <w:rPr>
          <w:rFonts w:ascii="Garamond" w:hAnsi="Garamond"/>
        </w:rPr>
      </w:pPr>
    </w:p>
  </w:footnote>
  <w:footnote w:id="4">
    <w:p w14:paraId="61B6DE76" w14:textId="786AF461" w:rsidR="009A7AC5" w:rsidRDefault="009A7AC5" w:rsidP="009A7AC5">
      <w:pPr>
        <w:pStyle w:val="FootnoteText"/>
        <w:rPr>
          <w:rFonts w:ascii="Garamond" w:hAnsi="Garamond" w:cs="Arial"/>
          <w:color w:val="282828"/>
        </w:rPr>
      </w:pPr>
      <w:r w:rsidRPr="002E55D0">
        <w:rPr>
          <w:rStyle w:val="FootnoteReference"/>
          <w:rFonts w:ascii="Garamond" w:hAnsi="Garamond"/>
        </w:rPr>
        <w:footnoteRef/>
      </w:r>
      <w:r w:rsidRPr="002E55D0">
        <w:rPr>
          <w:rFonts w:ascii="Garamond" w:hAnsi="Garamond"/>
        </w:rPr>
        <w:t xml:space="preserve"> Pressman writes of </w:t>
      </w:r>
      <w:r w:rsidRPr="002E55D0">
        <w:rPr>
          <w:rFonts w:ascii="Garamond" w:hAnsi="Garamond"/>
          <w:i/>
        </w:rPr>
        <w:t>Between Page and Screen</w:t>
      </w:r>
      <w:r w:rsidRPr="002E55D0">
        <w:rPr>
          <w:rFonts w:ascii="Garamond" w:hAnsi="Garamond"/>
        </w:rPr>
        <w:t xml:space="preserve"> that </w:t>
      </w:r>
      <w:r w:rsidRPr="002E55D0">
        <w:rPr>
          <w:rFonts w:ascii="Garamond" w:hAnsi="Garamond" w:cs="Arial"/>
          <w:color w:val="282828"/>
        </w:rPr>
        <w:t>“this work’s text appears through not only</w:t>
      </w:r>
      <w:r w:rsidRPr="002E55D0">
        <w:rPr>
          <w:rFonts w:ascii="Garamond" w:hAnsi="Garamond"/>
        </w:rPr>
        <w:t xml:space="preserve"> </w:t>
      </w:r>
      <w:r w:rsidRPr="002E55D0">
        <w:rPr>
          <w:rFonts w:ascii="Garamond" w:hAnsi="Garamond" w:cs="Arial"/>
          <w:color w:val="282828"/>
        </w:rPr>
        <w:t>linguistic but also programmatic acts of translation; furthermore, when it does</w:t>
      </w:r>
      <w:r w:rsidRPr="002E55D0">
        <w:rPr>
          <w:rFonts w:ascii="Garamond" w:hAnsi="Garamond"/>
        </w:rPr>
        <w:t xml:space="preserve"> </w:t>
      </w:r>
      <w:r w:rsidRPr="002E55D0">
        <w:rPr>
          <w:rFonts w:ascii="Garamond" w:hAnsi="Garamond" w:cs="Arial"/>
          <w:color w:val="282828"/>
        </w:rPr>
        <w:t>appear, it comments upon the materiality of text and textual media” (Pressman, 317).</w:t>
      </w:r>
    </w:p>
    <w:p w14:paraId="3A2E1E75" w14:textId="77777777" w:rsidR="009A7AC5" w:rsidRPr="00DB4F3C" w:rsidRDefault="009A7AC5" w:rsidP="009A7AC5">
      <w:pPr>
        <w:pStyle w:val="FootnoteText"/>
        <w:rPr>
          <w:rFonts w:ascii="Garamond" w:hAnsi="Garamond"/>
        </w:rPr>
      </w:pPr>
    </w:p>
  </w:footnote>
  <w:footnote w:id="5">
    <w:p w14:paraId="37B79590" w14:textId="0893ED5C" w:rsidR="009A7AC5" w:rsidRDefault="009A7AC5" w:rsidP="009A7AC5">
      <w:pPr>
        <w:pStyle w:val="FootnoteText"/>
        <w:rPr>
          <w:rFonts w:ascii="Garamond" w:hAnsi="Garamond"/>
        </w:rPr>
      </w:pPr>
      <w:r w:rsidRPr="0028471F">
        <w:rPr>
          <w:rStyle w:val="FootnoteReference"/>
          <w:rFonts w:ascii="Garamond" w:hAnsi="Garamond"/>
        </w:rPr>
        <w:footnoteRef/>
      </w:r>
      <w:r w:rsidRPr="0028471F">
        <w:rPr>
          <w:rFonts w:ascii="Garamond" w:hAnsi="Garamond"/>
        </w:rPr>
        <w:t xml:space="preserve"> </w:t>
      </w:r>
      <w:r>
        <w:rPr>
          <w:rFonts w:ascii="Garamond" w:hAnsi="Garamond"/>
        </w:rPr>
        <w:t xml:space="preserve">Kenneth </w:t>
      </w:r>
      <w:r w:rsidRPr="0028471F">
        <w:rPr>
          <w:rFonts w:ascii="Garamond" w:hAnsi="Garamond"/>
        </w:rPr>
        <w:t>Burke</w:t>
      </w:r>
      <w:r>
        <w:rPr>
          <w:rFonts w:ascii="Garamond" w:hAnsi="Garamond"/>
        </w:rPr>
        <w:t xml:space="preserve"> in his essay “Terministic Screens,” writes: “</w:t>
      </w:r>
      <w:r w:rsidRPr="00BE3F17">
        <w:rPr>
          <w:rFonts w:ascii="Garamond" w:hAnsi="Garamond"/>
        </w:rPr>
        <w:t>Even if any given terminology is a </w:t>
      </w:r>
      <w:r w:rsidRPr="00BE3F17">
        <w:rPr>
          <w:rFonts w:ascii="Garamond" w:hAnsi="Garamond"/>
          <w:i/>
          <w:iCs/>
        </w:rPr>
        <w:t>reflection</w:t>
      </w:r>
      <w:r w:rsidRPr="00BE3F17">
        <w:rPr>
          <w:rFonts w:ascii="Garamond" w:hAnsi="Garamond"/>
        </w:rPr>
        <w:t> of reality, by its very nature as a terminology it must be a </w:t>
      </w:r>
      <w:r w:rsidRPr="00BE3F17">
        <w:rPr>
          <w:rFonts w:ascii="Garamond" w:hAnsi="Garamond"/>
          <w:i/>
          <w:iCs/>
        </w:rPr>
        <w:t>selection</w:t>
      </w:r>
      <w:r w:rsidRPr="00BE3F17">
        <w:rPr>
          <w:rFonts w:ascii="Garamond" w:hAnsi="Garamond"/>
        </w:rPr>
        <w:t> of reality; and to this extent must function also as a </w:t>
      </w:r>
      <w:r w:rsidRPr="00BE3F17">
        <w:rPr>
          <w:rFonts w:ascii="Garamond" w:hAnsi="Garamond"/>
          <w:i/>
          <w:iCs/>
        </w:rPr>
        <w:t>deflection</w:t>
      </w:r>
      <w:r w:rsidRPr="00BE3F17">
        <w:rPr>
          <w:rFonts w:ascii="Garamond" w:hAnsi="Garamond"/>
        </w:rPr>
        <w:t> of reality”</w:t>
      </w:r>
      <w:r>
        <w:rPr>
          <w:rFonts w:ascii="Garamond" w:hAnsi="Garamond"/>
        </w:rPr>
        <w:t xml:space="preserve"> (Burke, 45)</w:t>
      </w:r>
      <w:r w:rsidRPr="0028471F">
        <w:rPr>
          <w:rFonts w:ascii="Garamond" w:hAnsi="Garamond"/>
        </w:rPr>
        <w:t>.</w:t>
      </w:r>
    </w:p>
    <w:p w14:paraId="2E0594B3" w14:textId="77777777" w:rsidR="009A7AC5" w:rsidRPr="00DB4F3C" w:rsidRDefault="009A7AC5" w:rsidP="009A7AC5">
      <w:pPr>
        <w:pStyle w:val="FootnoteText"/>
        <w:rPr>
          <w:rFonts w:ascii="Garamond" w:hAnsi="Garamond"/>
        </w:rPr>
      </w:pPr>
      <w:bookmarkStart w:id="0" w:name="_GoBack"/>
      <w:bookmarkEnd w:id="0"/>
    </w:p>
  </w:footnote>
  <w:footnote w:id="6">
    <w:p w14:paraId="709C1EAA" w14:textId="77777777" w:rsidR="009A7AC5" w:rsidRPr="000C76F1" w:rsidRDefault="009A7AC5" w:rsidP="009A7AC5">
      <w:pPr>
        <w:pStyle w:val="FootnoteText"/>
        <w:rPr>
          <w:rFonts w:ascii="Garamond" w:hAnsi="Garamond"/>
        </w:rPr>
      </w:pPr>
      <w:r w:rsidRPr="000C76F1">
        <w:rPr>
          <w:rStyle w:val="FootnoteReference"/>
          <w:rFonts w:ascii="Garamond" w:hAnsi="Garamond"/>
        </w:rPr>
        <w:footnoteRef/>
      </w:r>
      <w:r w:rsidRPr="000C76F1">
        <w:rPr>
          <w:rFonts w:ascii="Garamond" w:hAnsi="Garamond"/>
        </w:rPr>
        <w:t xml:space="preserve"> Kenneth Burke in “Four Master Tropes” writes that “metaphor tells us something about one character as considered from the point of view of another character. And to consider A from the point of view of B is, of course, to use B as a perspective upon A” (Burke, 422).</w:t>
      </w:r>
    </w:p>
  </w:footnote>
  <w:footnote w:id="7">
    <w:p w14:paraId="4FD04262" w14:textId="77777777" w:rsidR="009A7AC5" w:rsidRPr="002E55D0" w:rsidRDefault="009A7AC5" w:rsidP="009A7AC5">
      <w:pPr>
        <w:pStyle w:val="FootnoteText"/>
        <w:rPr>
          <w:rFonts w:ascii="Garamond" w:hAnsi="Garamond"/>
        </w:rPr>
      </w:pPr>
      <w:r w:rsidRPr="002E55D0">
        <w:rPr>
          <w:rStyle w:val="FootnoteReference"/>
          <w:rFonts w:ascii="Garamond" w:hAnsi="Garamond"/>
        </w:rPr>
        <w:footnoteRef/>
      </w:r>
      <w:r w:rsidRPr="002E55D0">
        <w:rPr>
          <w:rFonts w:ascii="Garamond" w:hAnsi="Garamond"/>
        </w:rPr>
        <w:t xml:space="preserve"> </w:t>
      </w:r>
      <w:r>
        <w:rPr>
          <w:rFonts w:ascii="Garamond" w:hAnsi="Garamond"/>
        </w:rPr>
        <w:t xml:space="preserve">N. </w:t>
      </w:r>
      <w:r w:rsidRPr="002E55D0">
        <w:rPr>
          <w:rFonts w:ascii="Garamond" w:hAnsi="Garamond"/>
        </w:rPr>
        <w:t>Katherine Hayles writes that “it is time to rethink what reading is and how it works in the rich mixtures of words and images, sounds and animations, graphics and letters that constitute the environments of twenty-first-century literacies” in her article “How We Read: Close, Hyper, Machine” (Hayles, 78).</w:t>
      </w:r>
    </w:p>
  </w:footnote>
  <w:footnote w:id="8">
    <w:p w14:paraId="2A529011" w14:textId="77777777" w:rsidR="009A7AC5" w:rsidRPr="00B723CA" w:rsidRDefault="009A7AC5" w:rsidP="009A7AC5">
      <w:pPr>
        <w:pStyle w:val="NormalWeb"/>
        <w:shd w:val="clear" w:color="auto" w:fill="FFFFFF"/>
        <w:rPr>
          <w:rFonts w:ascii="Garamond" w:hAnsi="Garamond"/>
          <w:sz w:val="20"/>
          <w:szCs w:val="20"/>
        </w:rPr>
      </w:pPr>
      <w:r w:rsidRPr="00B723CA">
        <w:rPr>
          <w:rStyle w:val="FootnoteReference"/>
          <w:rFonts w:ascii="Garamond" w:hAnsi="Garamond"/>
          <w:sz w:val="20"/>
          <w:szCs w:val="20"/>
        </w:rPr>
        <w:footnoteRef/>
      </w:r>
      <w:r w:rsidRPr="00B723CA">
        <w:rPr>
          <w:rFonts w:ascii="Garamond" w:hAnsi="Garamond"/>
          <w:sz w:val="20"/>
          <w:szCs w:val="20"/>
        </w:rPr>
        <w:t xml:space="preserve"> </w:t>
      </w:r>
      <w:r>
        <w:rPr>
          <w:rFonts w:ascii="Garamond" w:hAnsi="Garamond"/>
          <w:sz w:val="20"/>
          <w:szCs w:val="20"/>
        </w:rPr>
        <w:t xml:space="preserve">Lev Manovich in “The Poetics of Augmented Space” writes that, </w:t>
      </w:r>
      <w:r w:rsidRPr="00B723CA">
        <w:rPr>
          <w:rFonts w:ascii="Garamond" w:hAnsi="Garamond"/>
          <w:sz w:val="20"/>
          <w:szCs w:val="20"/>
        </w:rPr>
        <w:t>“The space that symbolizes the Information Age is not the symmetrical and ornamental space of traditional architecture, the rectangular volumes of modernism, nor the broken and blown-up volumes of deconstruction. Rather, it is space whose shapes are inherently mutable and whose soft contours act as a metaphor for the key quality of computer-driven representations and systems: variability</w:t>
      </w:r>
      <w:r>
        <w:rPr>
          <w:rFonts w:ascii="Garamond" w:hAnsi="Garamond"/>
          <w:sz w:val="20"/>
          <w:szCs w:val="20"/>
        </w:rPr>
        <w:t>” (</w:t>
      </w:r>
      <w:r w:rsidRPr="00B723CA">
        <w:rPr>
          <w:rFonts w:ascii="Garamond" w:hAnsi="Garamond"/>
          <w:sz w:val="20"/>
          <w:szCs w:val="20"/>
        </w:rPr>
        <w:t>Manovich, 234</w:t>
      </w:r>
      <w:r>
        <w:rPr>
          <w:rFonts w:ascii="Garamond" w:hAnsi="Garamond"/>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37AD" w14:textId="77777777" w:rsidR="00775543" w:rsidRDefault="00775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869B" w14:textId="77777777" w:rsidR="009A7AC5" w:rsidRPr="009A7AC5" w:rsidRDefault="009A7AC5" w:rsidP="009A7AC5">
    <w:pPr>
      <w:widowControl w:val="0"/>
      <w:jc w:val="right"/>
      <w:rPr>
        <w:rFonts w:ascii="Garamond" w:eastAsia="Times New Roman" w:hAnsi="Garamond" w:cs="Times New Roman"/>
        <w:sz w:val="24"/>
        <w:szCs w:val="24"/>
      </w:rPr>
    </w:pPr>
    <w:r w:rsidRPr="009A7AC5">
      <w:rPr>
        <w:rFonts w:ascii="Garamond" w:eastAsia="Times New Roman" w:hAnsi="Garamond" w:cs="Times New Roman"/>
        <w:sz w:val="24"/>
        <w:szCs w:val="24"/>
      </w:rPr>
      <w:t>Carly Schnitzler</w:t>
    </w:r>
  </w:p>
  <w:p w14:paraId="3911CB4A" w14:textId="77777777" w:rsidR="009A7AC5" w:rsidRPr="009A7AC5" w:rsidRDefault="009A7AC5" w:rsidP="009A7AC5">
    <w:pPr>
      <w:widowControl w:val="0"/>
      <w:jc w:val="right"/>
      <w:rPr>
        <w:rFonts w:ascii="Garamond" w:eastAsia="Times New Roman" w:hAnsi="Garamond" w:cs="Times New Roman"/>
        <w:sz w:val="24"/>
        <w:szCs w:val="24"/>
      </w:rPr>
    </w:pPr>
    <w:r w:rsidRPr="009A7AC5">
      <w:rPr>
        <w:rFonts w:ascii="Garamond" w:eastAsia="Times New Roman" w:hAnsi="Garamond" w:cs="Times New Roman"/>
        <w:sz w:val="24"/>
        <w:szCs w:val="24"/>
      </w:rPr>
      <w:t>ENGL 480</w:t>
    </w:r>
  </w:p>
  <w:p w14:paraId="7AB0ADB2" w14:textId="77777777" w:rsidR="009A7AC5" w:rsidRPr="009A7AC5" w:rsidRDefault="009A7AC5" w:rsidP="009A7AC5">
    <w:pPr>
      <w:widowControl w:val="0"/>
      <w:jc w:val="right"/>
      <w:rPr>
        <w:rFonts w:ascii="Garamond" w:eastAsia="Times New Roman" w:hAnsi="Garamond" w:cs="Times New Roman"/>
        <w:sz w:val="24"/>
        <w:szCs w:val="24"/>
      </w:rPr>
    </w:pPr>
    <w:r w:rsidRPr="009A7AC5">
      <w:rPr>
        <w:rFonts w:ascii="Garamond" w:eastAsia="Times New Roman" w:hAnsi="Garamond" w:cs="Times New Roman"/>
        <w:sz w:val="24"/>
        <w:szCs w:val="24"/>
      </w:rPr>
      <w:t>February 4, 2020</w:t>
    </w:r>
  </w:p>
  <w:p w14:paraId="06330402" w14:textId="77777777" w:rsidR="00775543" w:rsidRPr="009A7AC5" w:rsidRDefault="00775543" w:rsidP="009A7AC5">
    <w:pPr>
      <w:pStyle w:val="Header"/>
      <w:jc w:val="right"/>
      <w:rPr>
        <w:rFonts w:ascii="Garamond" w:hAnsi="Garamond"/>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64F1" w14:textId="77777777" w:rsidR="00775543" w:rsidRDefault="007755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DA"/>
    <w:rsid w:val="00137ADA"/>
    <w:rsid w:val="001428E6"/>
    <w:rsid w:val="00250A55"/>
    <w:rsid w:val="002F4D7D"/>
    <w:rsid w:val="003B07CA"/>
    <w:rsid w:val="00425E9B"/>
    <w:rsid w:val="004B0F6A"/>
    <w:rsid w:val="004C430C"/>
    <w:rsid w:val="004D78A5"/>
    <w:rsid w:val="005146A4"/>
    <w:rsid w:val="005D0750"/>
    <w:rsid w:val="00600771"/>
    <w:rsid w:val="00614581"/>
    <w:rsid w:val="00775543"/>
    <w:rsid w:val="007F537E"/>
    <w:rsid w:val="0093474C"/>
    <w:rsid w:val="00947949"/>
    <w:rsid w:val="009A7AC5"/>
    <w:rsid w:val="00A04727"/>
    <w:rsid w:val="00A05819"/>
    <w:rsid w:val="00A77B17"/>
    <w:rsid w:val="00B4711D"/>
    <w:rsid w:val="00BE4950"/>
    <w:rsid w:val="00C0621A"/>
    <w:rsid w:val="00C67280"/>
    <w:rsid w:val="00C73456"/>
    <w:rsid w:val="00E27B91"/>
    <w:rsid w:val="00F91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A7047"/>
  <w15:docId w15:val="{5E552299-43D9-EC47-9556-C36C76A2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775543"/>
    <w:pPr>
      <w:tabs>
        <w:tab w:val="center" w:pos="4680"/>
        <w:tab w:val="right" w:pos="9360"/>
      </w:tabs>
      <w:spacing w:line="240" w:lineRule="auto"/>
    </w:pPr>
  </w:style>
  <w:style w:type="character" w:customStyle="1" w:styleId="HeaderChar">
    <w:name w:val="Header Char"/>
    <w:basedOn w:val="DefaultParagraphFont"/>
    <w:link w:val="Header"/>
    <w:uiPriority w:val="99"/>
    <w:rsid w:val="00775543"/>
  </w:style>
  <w:style w:type="paragraph" w:styleId="Footer">
    <w:name w:val="footer"/>
    <w:basedOn w:val="Normal"/>
    <w:link w:val="FooterChar"/>
    <w:uiPriority w:val="99"/>
    <w:unhideWhenUsed/>
    <w:rsid w:val="00775543"/>
    <w:pPr>
      <w:tabs>
        <w:tab w:val="center" w:pos="4680"/>
        <w:tab w:val="right" w:pos="9360"/>
      </w:tabs>
      <w:spacing w:line="240" w:lineRule="auto"/>
    </w:pPr>
  </w:style>
  <w:style w:type="character" w:customStyle="1" w:styleId="FooterChar">
    <w:name w:val="Footer Char"/>
    <w:basedOn w:val="DefaultParagraphFont"/>
    <w:link w:val="Footer"/>
    <w:uiPriority w:val="99"/>
    <w:rsid w:val="00775543"/>
  </w:style>
  <w:style w:type="paragraph" w:styleId="FootnoteText">
    <w:name w:val="footnote text"/>
    <w:basedOn w:val="Normal"/>
    <w:link w:val="FootnoteTextChar"/>
    <w:uiPriority w:val="99"/>
    <w:semiHidden/>
    <w:unhideWhenUsed/>
    <w:rsid w:val="00775543"/>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775543"/>
    <w:rPr>
      <w:rFonts w:asciiTheme="minorHAnsi" w:eastAsiaTheme="minorHAnsi" w:hAnsiTheme="minorHAnsi" w:cstheme="minorBidi"/>
      <w:color w:val="auto"/>
      <w:sz w:val="20"/>
      <w:szCs w:val="20"/>
    </w:rPr>
  </w:style>
  <w:style w:type="character" w:styleId="FootnoteReference">
    <w:name w:val="footnote reference"/>
    <w:basedOn w:val="DefaultParagraphFont"/>
    <w:uiPriority w:val="99"/>
    <w:semiHidden/>
    <w:unhideWhenUsed/>
    <w:rsid w:val="00775543"/>
    <w:rPr>
      <w:vertAlign w:val="superscript"/>
    </w:rPr>
  </w:style>
  <w:style w:type="character" w:styleId="Hyperlink">
    <w:name w:val="Hyperlink"/>
    <w:basedOn w:val="DefaultParagraphFont"/>
    <w:uiPriority w:val="99"/>
    <w:unhideWhenUsed/>
    <w:rsid w:val="009A7AC5"/>
    <w:rPr>
      <w:color w:val="0000FF"/>
      <w:u w:val="single"/>
    </w:rPr>
  </w:style>
  <w:style w:type="paragraph" w:styleId="NormalWeb">
    <w:name w:val="Normal (Web)"/>
    <w:basedOn w:val="Normal"/>
    <w:uiPriority w:val="99"/>
    <w:unhideWhenUsed/>
    <w:rsid w:val="009A7AC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tweenpageandscree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2020-02-04T15:54:00Z</dcterms:created>
  <dcterms:modified xsi:type="dcterms:W3CDTF">2020-02-04T15:54:00Z</dcterms:modified>
</cp:coreProperties>
</file>